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rPr>
          <w:b/>
          <w:lang w:val="fr-CH"/>
        </w:rPr>
      </w:pPr>
      <w:r w:rsidRPr="003C6ED6">
        <w:rPr>
          <w:b/>
          <w:lang w:val="fr-CH"/>
        </w:rPr>
        <w:br/>
        <w:t>Editeur</w:t>
      </w:r>
      <w:r w:rsidRPr="003C6ED6">
        <w:rPr>
          <w:b/>
          <w:lang w:val="fr-CH"/>
        </w:rPr>
        <w:tab/>
      </w:r>
      <w:r w:rsidRPr="003C6ED6">
        <w:rPr>
          <w:lang w:val="fr-CH"/>
        </w:rPr>
        <w:tab/>
      </w: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leader="dot" w:pos="2700"/>
          <w:tab w:val="left" w:pos="2835"/>
          <w:tab w:val="left" w:leader="dot" w:pos="9072"/>
        </w:tabs>
        <w:rPr>
          <w:szCs w:val="16"/>
          <w:lang w:val="fr-CH"/>
        </w:rPr>
      </w:pPr>
      <w:r w:rsidRPr="003C6ED6">
        <w:rPr>
          <w:sz w:val="16"/>
          <w:szCs w:val="16"/>
          <w:lang w:val="fr-CH"/>
        </w:rPr>
        <w:t xml:space="preserve">N° d’édition  </w:t>
      </w:r>
      <w:r w:rsidRPr="003C6ED6">
        <w:rPr>
          <w:szCs w:val="16"/>
          <w:lang w:val="fr-CH"/>
        </w:rPr>
        <w:tab/>
      </w:r>
      <w:r w:rsidRPr="003C6ED6">
        <w:rPr>
          <w:sz w:val="16"/>
          <w:szCs w:val="16"/>
          <w:lang w:val="fr-CH"/>
        </w:rPr>
        <w:tab/>
        <w:t xml:space="preserve">Date d’édition  </w:t>
      </w:r>
      <w:r w:rsidRPr="003C6ED6">
        <w:rPr>
          <w:szCs w:val="16"/>
          <w:lang w:val="fr-CH"/>
        </w:rPr>
        <w:tab/>
      </w: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spacing w:after="0"/>
        <w:rPr>
          <w:lang w:val="fr-CH"/>
        </w:rPr>
      </w:pPr>
      <w:r w:rsidRPr="003C6ED6">
        <w:rPr>
          <w:lang w:val="fr-CH"/>
        </w:rPr>
        <w:t>Le mot «travaux» est pris ici en un sens général, incluant notamment des coupes de bois aussi bien que la construction d’ouvrages forestiers ou d’infrastructures.</w:t>
      </w:r>
    </w:p>
    <w:p w:rsidR="00032B98" w:rsidRPr="003C6ED6" w:rsidRDefault="00032B98" w:rsidP="00032B98">
      <w:pPr>
        <w:pStyle w:val="ohneAbstand"/>
        <w:rPr>
          <w:lang w:val="fr-CH"/>
        </w:rPr>
      </w:pP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rPr>
          <w:b/>
          <w:lang w:val="fr-CH"/>
        </w:rPr>
      </w:pPr>
      <w:r w:rsidRPr="003C6ED6">
        <w:rPr>
          <w:b/>
          <w:lang w:val="fr-CH"/>
        </w:rPr>
        <w:t xml:space="preserve">1 </w:t>
      </w:r>
      <w:r w:rsidRPr="003C6ED6">
        <w:rPr>
          <w:b/>
          <w:lang w:val="fr-CH"/>
        </w:rPr>
        <w:tab/>
        <w:t>Conclusion du contrat: délai de soumission des offres</w:t>
      </w: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spacing w:after="0"/>
        <w:rPr>
          <w:lang w:val="fr-CH"/>
        </w:rPr>
      </w:pPr>
      <w:r w:rsidRPr="003C6ED6">
        <w:rPr>
          <w:lang w:val="fr-CH"/>
        </w:rPr>
        <w:t>Si un délai a été convenu entre les parties pour la soumission de l’offre, il est définitif. Les offres so</w:t>
      </w:r>
      <w:r w:rsidRPr="003C6ED6">
        <w:rPr>
          <w:lang w:val="fr-CH"/>
        </w:rPr>
        <w:t>u</w:t>
      </w:r>
      <w:r w:rsidRPr="003C6ED6">
        <w:rPr>
          <w:lang w:val="fr-CH"/>
        </w:rPr>
        <w:t>mises tardivement ne peuvent plus être considérées. Sont déterminantes la date du timbre postal pour un envoi en courrier A, la date d’expédition pour un fax ou un courrier électronique.</w:t>
      </w:r>
    </w:p>
    <w:p w:rsidR="00032B98" w:rsidRPr="003C6ED6" w:rsidRDefault="00032B98" w:rsidP="00032B98">
      <w:pPr>
        <w:pStyle w:val="ohneAbstand"/>
        <w:rPr>
          <w:lang w:val="fr-CH"/>
        </w:rPr>
      </w:pP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rPr>
          <w:b/>
          <w:lang w:val="fr-CH"/>
        </w:rPr>
      </w:pPr>
      <w:r w:rsidRPr="003C6ED6">
        <w:rPr>
          <w:b/>
          <w:lang w:val="fr-CH"/>
        </w:rPr>
        <w:t xml:space="preserve">2 </w:t>
      </w:r>
      <w:r w:rsidRPr="003C6ED6">
        <w:rPr>
          <w:b/>
          <w:lang w:val="fr-CH"/>
        </w:rPr>
        <w:tab/>
        <w:t>Responsabilité du mandataire</w:t>
      </w:r>
    </w:p>
    <w:p w:rsidR="00032B98" w:rsidRPr="003C6ED6" w:rsidRDefault="00032B98" w:rsidP="00032B98">
      <w:pPr>
        <w:pStyle w:val="berschrift3"/>
        <w:rPr>
          <w:lang w:val="fr-CH"/>
        </w:rPr>
      </w:pPr>
      <w:r w:rsidRPr="003C6ED6">
        <w:rPr>
          <w:lang w:val="fr-CH"/>
        </w:rPr>
        <w:t xml:space="preserve">2.1 </w:t>
      </w:r>
      <w:r w:rsidRPr="003C6ED6">
        <w:rPr>
          <w:lang w:val="fr-CH"/>
        </w:rPr>
        <w:tab/>
        <w:t>Devoir de diligence</w:t>
      </w: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rPr>
          <w:lang w:val="fr-CH"/>
        </w:rPr>
      </w:pPr>
      <w:r w:rsidRPr="003C6ED6">
        <w:rPr>
          <w:lang w:val="fr-CH"/>
        </w:rPr>
        <w:t>Le mandataire/l’entrepreneur doit au mandant une exécution correcte du mandat par des personnes disposant d’une formation professionnelle adéquate, sélectionnées avec soin et ayant reçu les instru</w:t>
      </w:r>
      <w:r w:rsidRPr="003C6ED6">
        <w:rPr>
          <w:lang w:val="fr-CH"/>
        </w:rPr>
        <w:t>c</w:t>
      </w:r>
      <w:r w:rsidRPr="003C6ED6">
        <w:rPr>
          <w:lang w:val="fr-CH"/>
        </w:rPr>
        <w:t>tions nécessaires. Pour la construction d’ouvrages, le mandataire doit en outre respecter les règles de l’art reconnues.</w:t>
      </w: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rPr>
          <w:lang w:val="fr-CH"/>
        </w:rPr>
      </w:pPr>
      <w:r w:rsidRPr="003C6ED6">
        <w:rPr>
          <w:lang w:val="fr-CH"/>
        </w:rPr>
        <w:t>Le mandataire/l’entrepreneur doit, en particulier, ménager la forêt et les chemins forestiers pendant l’exploitation, le débardage, le façonnage, le stockage et l’enlèvement du bois. Il se conformera aux instructions du vendeur et du service forestier à ce sujet.</w:t>
      </w: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rPr>
          <w:lang w:val="fr-CH"/>
        </w:rPr>
      </w:pPr>
      <w:r w:rsidRPr="003C6ED6">
        <w:rPr>
          <w:lang w:val="fr-CH"/>
        </w:rPr>
        <w:t>Dans l’exécution des travaux, le mandataire/l’entrepreneur est tenu d’observer les normes usuelles de la branche, à savoir:</w:t>
      </w: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spacing w:after="0"/>
        <w:rPr>
          <w:lang w:val="fr-CH"/>
        </w:rPr>
      </w:pPr>
      <w:r w:rsidRPr="003C6ED6">
        <w:rPr>
          <w:lang w:val="fr-CH"/>
        </w:rPr>
        <w:t>-</w:t>
      </w:r>
      <w:r w:rsidRPr="003C6ED6">
        <w:rPr>
          <w:lang w:val="fr-CH"/>
        </w:rPr>
        <w:tab/>
        <w:t>Ordonnance sur la prévention des accidents et des maladies professionnelles (OPA, RS 832.30)</w:t>
      </w: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spacing w:after="0"/>
        <w:rPr>
          <w:lang w:val="fr-CH"/>
        </w:rPr>
      </w:pPr>
      <w:r w:rsidRPr="003C6ED6">
        <w:rPr>
          <w:lang w:val="fr-CH"/>
        </w:rPr>
        <w:t>-</w:t>
      </w:r>
      <w:r w:rsidRPr="003C6ED6">
        <w:rPr>
          <w:lang w:val="fr-CH"/>
        </w:rPr>
        <w:tab/>
        <w:t>Directive CFST n° 2134 «Travaux forestiers»</w:t>
      </w:r>
    </w:p>
    <w:p w:rsidR="00032B98"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spacing w:after="0"/>
        <w:rPr>
          <w:lang w:val="fr-CH"/>
        </w:rPr>
      </w:pPr>
      <w:r>
        <w:rPr>
          <w:lang w:val="fr-CH"/>
        </w:rPr>
        <w:t>-</w:t>
      </w:r>
      <w:r>
        <w:rPr>
          <w:lang w:val="fr-CH"/>
        </w:rPr>
        <w:tab/>
        <w:t>Directive</w:t>
      </w:r>
      <w:r w:rsidRPr="003C6ED6">
        <w:rPr>
          <w:lang w:val="fr-CH"/>
        </w:rPr>
        <w:t xml:space="preserve"> SUVA n° 2135 «Travaux avec une tronçonneuse» </w:t>
      </w: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spacing w:after="0"/>
        <w:rPr>
          <w:sz w:val="18"/>
          <w:szCs w:val="18"/>
          <w:lang w:val="fr-CH"/>
        </w:rPr>
      </w:pPr>
      <w:r>
        <w:rPr>
          <w:lang w:val="fr-CH"/>
        </w:rPr>
        <w:t>-</w:t>
      </w:r>
      <w:r>
        <w:rPr>
          <w:lang w:val="fr-CH"/>
        </w:rPr>
        <w:tab/>
      </w:r>
      <w:r>
        <w:rPr>
          <w:sz w:val="18"/>
          <w:szCs w:val="18"/>
          <w:lang w:val="fr-CH"/>
        </w:rPr>
        <w:t>Directive</w:t>
      </w:r>
      <w:r w:rsidRPr="003C6ED6">
        <w:rPr>
          <w:sz w:val="18"/>
          <w:szCs w:val="18"/>
          <w:lang w:val="fr-CH"/>
        </w:rPr>
        <w:t xml:space="preserve"> SUVA n° 2136 «Exploitation de grues à câble et de téléphériques pour le transport de matériaux»</w:t>
      </w: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spacing w:after="0"/>
        <w:rPr>
          <w:sz w:val="18"/>
          <w:szCs w:val="18"/>
          <w:lang w:val="fr-CH"/>
        </w:rPr>
      </w:pPr>
      <w:r w:rsidRPr="003C6ED6">
        <w:rPr>
          <w:sz w:val="18"/>
          <w:szCs w:val="18"/>
          <w:lang w:val="fr-CH"/>
        </w:rPr>
        <w:t>-</w:t>
      </w:r>
      <w:r w:rsidRPr="003C6ED6">
        <w:rPr>
          <w:sz w:val="18"/>
          <w:szCs w:val="18"/>
          <w:lang w:val="fr-CH"/>
        </w:rPr>
        <w:tab/>
        <w:t>Directive SUVA n° 1593 «Construction, équipement, installation, exploitation et entretien des machines»</w:t>
      </w: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rPr>
          <w:lang w:val="fr-CH"/>
        </w:rPr>
      </w:pPr>
      <w:r w:rsidRPr="003C6ED6">
        <w:rPr>
          <w:lang w:val="fr-CH"/>
        </w:rPr>
        <w:t>-</w:t>
      </w:r>
      <w:r w:rsidRPr="003C6ED6">
        <w:rPr>
          <w:lang w:val="fr-CH"/>
        </w:rPr>
        <w:tab/>
        <w:t>Les aide-mémoire SUVA de la série «Sécurité lors des travaux forestiers»</w:t>
      </w:r>
    </w:p>
    <w:p w:rsidR="00032B98" w:rsidRPr="003C6ED6" w:rsidRDefault="00032B98" w:rsidP="00032B98">
      <w:pPr>
        <w:pStyle w:val="berschrift3"/>
        <w:rPr>
          <w:lang w:val="fr-CH"/>
        </w:rPr>
      </w:pPr>
      <w:r w:rsidRPr="003C6ED6">
        <w:rPr>
          <w:lang w:val="fr-CH"/>
        </w:rPr>
        <w:t xml:space="preserve">2.2 </w:t>
      </w:r>
      <w:r w:rsidRPr="003C6ED6">
        <w:rPr>
          <w:lang w:val="fr-CH"/>
        </w:rPr>
        <w:tab/>
        <w:t>Responsabilité civile</w:t>
      </w: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spacing w:after="0"/>
        <w:rPr>
          <w:lang w:val="fr-CH"/>
        </w:rPr>
      </w:pPr>
      <w:r w:rsidRPr="003C6ED6">
        <w:rPr>
          <w:lang w:val="fr-CH"/>
        </w:rPr>
        <w:t>Le mandataire/l'entrepreneur répond de tous les dommages causés par lui-même ou ses auxiliaires dans le cadre de l’exécution du contrat.</w:t>
      </w:r>
      <w:r>
        <w:rPr>
          <w:lang w:val="fr-CH"/>
        </w:rPr>
        <w:t xml:space="preserve"> </w:t>
      </w:r>
      <w:r w:rsidRPr="003C6ED6">
        <w:rPr>
          <w:lang w:val="fr-CH"/>
        </w:rPr>
        <w:t>Le cas échéant, il doit aviser immédiatement le manda</w:t>
      </w:r>
      <w:r>
        <w:rPr>
          <w:lang w:val="fr-CH"/>
        </w:rPr>
        <w:t>nt des dommages survenus</w:t>
      </w:r>
      <w:r w:rsidRPr="003C6ED6">
        <w:rPr>
          <w:lang w:val="fr-CH"/>
        </w:rPr>
        <w:t>.</w:t>
      </w:r>
    </w:p>
    <w:p w:rsidR="00032B98" w:rsidRPr="003C6ED6" w:rsidRDefault="00032B98" w:rsidP="00032B98">
      <w:pPr>
        <w:pStyle w:val="ohneAbstand"/>
        <w:rPr>
          <w:lang w:val="fr-CH"/>
        </w:rPr>
      </w:pP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rPr>
          <w:b/>
          <w:lang w:val="fr-CH"/>
        </w:rPr>
      </w:pPr>
      <w:r w:rsidRPr="003C6ED6">
        <w:rPr>
          <w:b/>
          <w:lang w:val="fr-CH"/>
        </w:rPr>
        <w:t xml:space="preserve">3 </w:t>
      </w:r>
      <w:r w:rsidRPr="003C6ED6">
        <w:rPr>
          <w:b/>
          <w:lang w:val="fr-CH"/>
        </w:rPr>
        <w:tab/>
        <w:t>Recours à des sous-traitants ou à des substituts</w:t>
      </w: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spacing w:after="0"/>
        <w:rPr>
          <w:lang w:val="fr-CH"/>
        </w:rPr>
      </w:pPr>
      <w:r w:rsidRPr="003C6ED6">
        <w:rPr>
          <w:lang w:val="fr-CH"/>
        </w:rPr>
        <w:t>Le recours à des sous-traitants ou à des substituts requiert dans tous les cas l'approbation du ma</w:t>
      </w:r>
      <w:r w:rsidRPr="003C6ED6">
        <w:rPr>
          <w:lang w:val="fr-CH"/>
        </w:rPr>
        <w:t>n</w:t>
      </w:r>
      <w:r w:rsidRPr="003C6ED6">
        <w:rPr>
          <w:lang w:val="fr-CH"/>
        </w:rPr>
        <w:t>dant.</w:t>
      </w:r>
      <w:r>
        <w:rPr>
          <w:lang w:val="fr-CH"/>
        </w:rPr>
        <w:t xml:space="preserve"> </w:t>
      </w:r>
      <w:r w:rsidRPr="003C6ED6">
        <w:rPr>
          <w:lang w:val="fr-CH"/>
        </w:rPr>
        <w:t>Les art. 364 et 399 CO s’appliquent.</w:t>
      </w:r>
      <w:r>
        <w:rPr>
          <w:lang w:val="fr-CH"/>
        </w:rPr>
        <w:t xml:space="preserve"> Le sous-traitant respecte également les conditions du co</w:t>
      </w:r>
      <w:r>
        <w:rPr>
          <w:lang w:val="fr-CH"/>
        </w:rPr>
        <w:t>n</w:t>
      </w:r>
      <w:r>
        <w:rPr>
          <w:lang w:val="fr-CH"/>
        </w:rPr>
        <w:t>trat.</w:t>
      </w:r>
    </w:p>
    <w:p w:rsidR="00032B98" w:rsidRPr="003C6ED6" w:rsidRDefault="00032B98" w:rsidP="00032B98">
      <w:pPr>
        <w:pStyle w:val="ohneAbstand"/>
        <w:rPr>
          <w:lang w:val="fr-CH"/>
        </w:rPr>
      </w:pP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rPr>
          <w:b/>
          <w:lang w:val="fr-CH"/>
        </w:rPr>
      </w:pPr>
      <w:r w:rsidRPr="003C6ED6">
        <w:rPr>
          <w:b/>
          <w:lang w:val="fr-CH"/>
        </w:rPr>
        <w:lastRenderedPageBreak/>
        <w:t xml:space="preserve">4 </w:t>
      </w:r>
      <w:r w:rsidRPr="003C6ED6">
        <w:rPr>
          <w:b/>
          <w:lang w:val="fr-CH"/>
        </w:rPr>
        <w:tab/>
        <w:t>Travaux en régie</w:t>
      </w: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spacing w:after="0"/>
        <w:rPr>
          <w:lang w:val="fr-CH"/>
        </w:rPr>
      </w:pPr>
      <w:r w:rsidRPr="003C6ED6">
        <w:rPr>
          <w:lang w:val="fr-CH"/>
        </w:rPr>
        <w:t>Ne sont considérés comme temps de travail donnant droit à rémunération que les travaux express</w:t>
      </w:r>
      <w:r w:rsidRPr="003C6ED6">
        <w:rPr>
          <w:lang w:val="fr-CH"/>
        </w:rPr>
        <w:t>é</w:t>
      </w:r>
      <w:r w:rsidRPr="003C6ED6">
        <w:rPr>
          <w:lang w:val="fr-CH"/>
        </w:rPr>
        <w:t>ment ordonnés par le mandant ou par</w:t>
      </w:r>
      <w:r>
        <w:rPr>
          <w:lang w:val="fr-CH"/>
        </w:rPr>
        <w:t xml:space="preserve"> le service forestier compétent</w:t>
      </w:r>
      <w:r w:rsidRPr="003C6ED6">
        <w:rPr>
          <w:lang w:val="fr-CH"/>
        </w:rPr>
        <w:t>.</w:t>
      </w:r>
    </w:p>
    <w:p w:rsidR="00032B98" w:rsidRPr="003C6ED6" w:rsidRDefault="00032B98" w:rsidP="00032B98">
      <w:pPr>
        <w:pStyle w:val="ohneAbstand"/>
        <w:rPr>
          <w:b/>
          <w:lang w:val="fr-CH"/>
        </w:rPr>
      </w:pP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rPr>
          <w:b/>
          <w:lang w:val="fr-CH"/>
        </w:rPr>
      </w:pPr>
      <w:r w:rsidRPr="003C6ED6">
        <w:rPr>
          <w:b/>
          <w:lang w:val="fr-CH"/>
        </w:rPr>
        <w:t xml:space="preserve">5 </w:t>
      </w:r>
      <w:r w:rsidRPr="003C6ED6">
        <w:rPr>
          <w:b/>
          <w:lang w:val="fr-CH"/>
        </w:rPr>
        <w:tab/>
      </w:r>
      <w:r w:rsidRPr="00D91FD3">
        <w:rPr>
          <w:b/>
          <w:lang w:val="fr-CH"/>
        </w:rPr>
        <w:t>Coupes de bois</w:t>
      </w: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rPr>
          <w:lang w:val="fr-CH"/>
        </w:rPr>
      </w:pPr>
      <w:r w:rsidRPr="00D91FD3">
        <w:rPr>
          <w:lang w:val="fr-CH"/>
        </w:rPr>
        <w:t>Dans le cas des coupes de bois, on observera en o</w:t>
      </w:r>
      <w:r>
        <w:rPr>
          <w:lang w:val="fr-CH"/>
        </w:rPr>
        <w:t>utre les dispositions suivantes</w:t>
      </w:r>
      <w:r w:rsidRPr="003C6ED6">
        <w:rPr>
          <w:lang w:val="fr-CH"/>
        </w:rPr>
        <w:t>:</w:t>
      </w:r>
    </w:p>
    <w:p w:rsidR="00032B98" w:rsidRPr="003C6ED6" w:rsidRDefault="00032B98" w:rsidP="00032B98">
      <w:pPr>
        <w:pStyle w:val="berschrift3"/>
        <w:rPr>
          <w:lang w:val="fr-CH"/>
        </w:rPr>
      </w:pPr>
      <w:r w:rsidRPr="003C6ED6">
        <w:rPr>
          <w:lang w:val="fr-CH"/>
        </w:rPr>
        <w:t xml:space="preserve">5.1 </w:t>
      </w:r>
      <w:r w:rsidRPr="00D91FD3">
        <w:rPr>
          <w:lang w:val="fr-CH"/>
        </w:rPr>
        <w:t>Martelage</w:t>
      </w: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rPr>
          <w:lang w:val="fr-CH"/>
        </w:rPr>
      </w:pPr>
      <w:r w:rsidRPr="00D91FD3">
        <w:rPr>
          <w:lang w:val="fr-CH"/>
        </w:rPr>
        <w:t>Le mandataire/l’entrepreneur ne peut récolter que les arbres martelés par le service forestier. Si des arbres non martelés sont abattus par erreur, il doit en aviser le mandant dans les huit jours. Si des arbres martelés sont laissés sur pied, le mandant les fait abattre et façonner en régie aux frais du mandataire.</w:t>
      </w:r>
      <w:r>
        <w:rPr>
          <w:lang w:val="fr-CH"/>
        </w:rPr>
        <w:t xml:space="preserve"> </w:t>
      </w:r>
      <w:r w:rsidRPr="00D91FD3">
        <w:rPr>
          <w:lang w:val="fr-CH"/>
        </w:rPr>
        <w:t>S’il s’agit d’une coupe sans martelage (éclaircies dans le perchis), les buts de l’éclaircie doivent être réglés à part dans le contrat. Le mandataire se conformera aux instructions éventuelles du service forestier</w:t>
      </w:r>
      <w:r w:rsidRPr="003C6ED6">
        <w:rPr>
          <w:lang w:val="fr-CH"/>
        </w:rPr>
        <w:t>.</w:t>
      </w:r>
    </w:p>
    <w:p w:rsidR="00032B98" w:rsidRPr="003C6ED6" w:rsidRDefault="00032B98" w:rsidP="00032B98">
      <w:pPr>
        <w:pStyle w:val="berschrift3"/>
        <w:rPr>
          <w:lang w:val="fr-CH"/>
        </w:rPr>
      </w:pPr>
      <w:r w:rsidRPr="003C6ED6">
        <w:rPr>
          <w:lang w:val="fr-CH"/>
        </w:rPr>
        <w:t xml:space="preserve">5.2 </w:t>
      </w:r>
      <w:r w:rsidRPr="00D91FD3">
        <w:rPr>
          <w:lang w:val="fr-CH"/>
        </w:rPr>
        <w:t>Lignes de câbles, layons de débardage</w:t>
      </w: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rPr>
          <w:lang w:val="fr-CH"/>
        </w:rPr>
      </w:pPr>
      <w:r w:rsidRPr="00D91FD3">
        <w:rPr>
          <w:lang w:val="fr-CH"/>
        </w:rPr>
        <w:t>Les couloirs ou layons nécessaires au débardage doivent être piquetés et martelés par le service forestier, en principe avant l’adjudication de la coupe. Une fois ce marquage effectué, aucune modif</w:t>
      </w:r>
      <w:r w:rsidRPr="00D91FD3">
        <w:rPr>
          <w:lang w:val="fr-CH"/>
        </w:rPr>
        <w:t>i</w:t>
      </w:r>
      <w:r w:rsidRPr="00D91FD3">
        <w:rPr>
          <w:lang w:val="fr-CH"/>
        </w:rPr>
        <w:t>cation du tracé des couloirs ou des layons n’est admise. A la fin des travaux, les arbres d’appui do</w:t>
      </w:r>
      <w:r w:rsidRPr="00D91FD3">
        <w:rPr>
          <w:lang w:val="fr-CH"/>
        </w:rPr>
        <w:t>i</w:t>
      </w:r>
      <w:r w:rsidRPr="00D91FD3">
        <w:rPr>
          <w:lang w:val="fr-CH"/>
        </w:rPr>
        <w:t>vent être façonnés et évacués ou écorcés (épicéas) par le mandataire. La déclaration obligatoire de la hauteur des câbles à l’Office fédéral de l’aviation civile incombe</w:t>
      </w:r>
      <w:r>
        <w:rPr>
          <w:lang w:val="fr-CH"/>
        </w:rPr>
        <w:t xml:space="preserve"> au mandataire/à l’entrepreneur</w:t>
      </w:r>
      <w:r w:rsidRPr="003C6ED6">
        <w:rPr>
          <w:lang w:val="fr-CH"/>
        </w:rPr>
        <w:t>.</w:t>
      </w:r>
    </w:p>
    <w:p w:rsidR="00032B98" w:rsidRPr="003C6ED6" w:rsidRDefault="00032B98" w:rsidP="00032B98">
      <w:pPr>
        <w:pStyle w:val="berschrift3"/>
        <w:rPr>
          <w:lang w:val="fr-CH"/>
        </w:rPr>
      </w:pPr>
      <w:r w:rsidRPr="003C6ED6">
        <w:rPr>
          <w:lang w:val="fr-CH"/>
        </w:rPr>
        <w:t xml:space="preserve">5.3 </w:t>
      </w:r>
      <w:r w:rsidRPr="00D91FD3">
        <w:rPr>
          <w:lang w:val="fr-CH"/>
        </w:rPr>
        <w:t>Protection de la forêt</w:t>
      </w: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rPr>
          <w:lang w:val="fr-CH"/>
        </w:rPr>
      </w:pPr>
      <w:r w:rsidRPr="00D91FD3">
        <w:rPr>
          <w:lang w:val="fr-CH"/>
        </w:rPr>
        <w:t>Le bois abattu durant le semestre d’hiver doit être évacué ou écorcé par l’entrepreneur</w:t>
      </w:r>
      <w:r w:rsidRPr="003C6ED6">
        <w:rPr>
          <w:lang w:val="fr-CH"/>
        </w:rPr>
        <w:t xml:space="preserve"> </w:t>
      </w: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rPr>
          <w:lang w:val="fr-CH"/>
        </w:rPr>
      </w:pPr>
      <w:r w:rsidRPr="00D91FD3">
        <w:rPr>
          <w:lang w:val="fr-CH"/>
        </w:rPr>
        <w:t xml:space="preserve">avant le </w:t>
      </w:r>
      <w:r w:rsidRPr="003C6ED6">
        <w:rPr>
          <w:lang w:val="fr-CH"/>
        </w:rPr>
        <w:t xml:space="preserve">……………………………………. </w:t>
      </w: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rPr>
          <w:lang w:val="fr-CH"/>
        </w:rPr>
      </w:pPr>
      <w:r w:rsidRPr="00D91FD3">
        <w:rPr>
          <w:lang w:val="fr-CH"/>
        </w:rPr>
        <w:t xml:space="preserve">Le bois abattu en sève doit être évacué ou écorcé dans les </w:t>
      </w:r>
      <w:r>
        <w:rPr>
          <w:lang w:val="fr-CH"/>
        </w:rPr>
        <w:t>…….. semaines.</w:t>
      </w: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rPr>
          <w:lang w:val="fr-CH"/>
        </w:rPr>
      </w:pPr>
      <w:r w:rsidRPr="00D91FD3">
        <w:rPr>
          <w:lang w:val="fr-CH"/>
        </w:rPr>
        <w:t>L’usage de produits chimiques est soumis aux dispositions de l’Ordonnance sur les substances (Osubst, RS 814.013).</w:t>
      </w:r>
      <w:r>
        <w:rPr>
          <w:lang w:val="fr-CH"/>
        </w:rPr>
        <w:t xml:space="preserve"> et à la liste des pesticides </w:t>
      </w:r>
      <w:r w:rsidRPr="00D91FD3">
        <w:rPr>
          <w:lang w:val="fr-CH"/>
        </w:rPr>
        <w:t>accordée</w:t>
      </w:r>
      <w:r>
        <w:rPr>
          <w:lang w:val="fr-CH"/>
        </w:rPr>
        <w:t>s au groupe PFB.</w:t>
      </w:r>
    </w:p>
    <w:p w:rsidR="00032B98" w:rsidRPr="003C6ED6" w:rsidRDefault="00032B98" w:rsidP="00032B98">
      <w:pPr>
        <w:pStyle w:val="berschrift3"/>
        <w:rPr>
          <w:lang w:val="fr-CH"/>
        </w:rPr>
      </w:pPr>
      <w:r w:rsidRPr="003C6ED6">
        <w:rPr>
          <w:lang w:val="fr-CH"/>
        </w:rPr>
        <w:t xml:space="preserve">5.4 </w:t>
      </w:r>
      <w:r w:rsidRPr="002175E2">
        <w:rPr>
          <w:lang w:val="fr-CH"/>
        </w:rPr>
        <w:t>Débitage et cubage</w:t>
      </w: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rPr>
          <w:lang w:val="fr-CH"/>
        </w:rPr>
      </w:pPr>
      <w:r w:rsidRPr="002175E2">
        <w:rPr>
          <w:lang w:val="fr-CH"/>
        </w:rPr>
        <w:t>Les assortiments doivent être façonnés selon les instructions du mandant avec les surmesures usuelles.</w:t>
      </w:r>
      <w:r>
        <w:rPr>
          <w:lang w:val="fr-CH"/>
        </w:rPr>
        <w:t xml:space="preserve"> </w:t>
      </w:r>
      <w:r w:rsidRPr="002175E2">
        <w:rPr>
          <w:lang w:val="fr-CH"/>
        </w:rPr>
        <w:t>Sauf convention contraire, tout le bois destiné à la vente doit être cubé et trié par le service forestier</w:t>
      </w:r>
      <w:r w:rsidRPr="003C6ED6">
        <w:rPr>
          <w:lang w:val="fr-CH"/>
        </w:rPr>
        <w:t>.</w:t>
      </w:r>
    </w:p>
    <w:p w:rsidR="00032B98" w:rsidRPr="003C6ED6" w:rsidRDefault="00032B98" w:rsidP="00032B98">
      <w:pPr>
        <w:pStyle w:val="berschrift3"/>
        <w:rPr>
          <w:lang w:val="fr-CH"/>
        </w:rPr>
      </w:pPr>
      <w:r w:rsidRPr="003C6ED6">
        <w:rPr>
          <w:lang w:val="fr-CH"/>
        </w:rPr>
        <w:t xml:space="preserve">5.5 </w:t>
      </w:r>
      <w:r w:rsidRPr="002175E2">
        <w:rPr>
          <w:lang w:val="fr-CH"/>
        </w:rPr>
        <w:t>Nettoiement de la coupe</w:t>
      </w: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spacing w:after="0"/>
        <w:rPr>
          <w:lang w:val="fr-CH"/>
        </w:rPr>
      </w:pPr>
      <w:r w:rsidRPr="002175E2">
        <w:rPr>
          <w:lang w:val="fr-CH"/>
        </w:rPr>
        <w:t>Le mandataire/l'entrepreneur doit nettoyer de leurs déchets de coupe tous les chemins et routes de la zone de coupe.</w:t>
      </w:r>
      <w:r>
        <w:rPr>
          <w:lang w:val="fr-CH"/>
        </w:rPr>
        <w:t xml:space="preserve"> </w:t>
      </w:r>
      <w:r w:rsidRPr="002175E2">
        <w:rPr>
          <w:lang w:val="fr-CH"/>
        </w:rPr>
        <w:t>Dans les ravins et les lits de torrents, le bois abattu doit être enlevé ou tronçonné de manière à ne présenter aucun danger pour les habitations, les terres cultivées et les voies de comm</w:t>
      </w:r>
      <w:r w:rsidRPr="002175E2">
        <w:rPr>
          <w:lang w:val="fr-CH"/>
        </w:rPr>
        <w:t>u</w:t>
      </w:r>
      <w:r w:rsidRPr="002175E2">
        <w:rPr>
          <w:lang w:val="fr-CH"/>
        </w:rPr>
        <w:t>nication lors de hautes eaux ou de coulées de boue.</w:t>
      </w:r>
      <w:r>
        <w:rPr>
          <w:lang w:val="fr-CH"/>
        </w:rPr>
        <w:t xml:space="preserve"> </w:t>
      </w:r>
      <w:r w:rsidRPr="002175E2">
        <w:rPr>
          <w:lang w:val="fr-CH"/>
        </w:rPr>
        <w:t>Le parterre de coupe lui-même doit être nettoyé selon la convention contractuelle passée entre les parties. Les rémanents ne peuvent être brûlés qu'avec l'autorisation expresse du mandant et de l'autorité compétente</w:t>
      </w:r>
      <w:r w:rsidRPr="003C6ED6">
        <w:rPr>
          <w:lang w:val="fr-CH"/>
        </w:rPr>
        <w:t>.</w:t>
      </w:r>
    </w:p>
    <w:p w:rsidR="00032B98" w:rsidRPr="003C6ED6" w:rsidRDefault="00032B98" w:rsidP="00032B98">
      <w:pPr>
        <w:pStyle w:val="ohneAbstand"/>
        <w:rPr>
          <w:lang w:val="fr-CH"/>
        </w:rPr>
      </w:pP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rPr>
          <w:b/>
          <w:lang w:val="fr-CH"/>
        </w:rPr>
      </w:pPr>
      <w:r w:rsidRPr="003C6ED6">
        <w:rPr>
          <w:b/>
          <w:lang w:val="fr-CH"/>
        </w:rPr>
        <w:t xml:space="preserve">6 </w:t>
      </w:r>
      <w:r w:rsidRPr="002175E2">
        <w:rPr>
          <w:b/>
          <w:lang w:val="fr-CH"/>
        </w:rPr>
        <w:t>Ouvrages</w:t>
      </w: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rPr>
          <w:lang w:val="fr-CH"/>
        </w:rPr>
      </w:pPr>
      <w:r w:rsidRPr="002175E2">
        <w:rPr>
          <w:lang w:val="fr-CH"/>
        </w:rPr>
        <w:lastRenderedPageBreak/>
        <w:t>Si le contrat de travaux forestiers porte sur la construction d’ouvrages, on observera en o</w:t>
      </w:r>
      <w:r>
        <w:rPr>
          <w:lang w:val="fr-CH"/>
        </w:rPr>
        <w:t>utre les di</w:t>
      </w:r>
      <w:r>
        <w:rPr>
          <w:lang w:val="fr-CH"/>
        </w:rPr>
        <w:t>s</w:t>
      </w:r>
      <w:r>
        <w:rPr>
          <w:lang w:val="fr-CH"/>
        </w:rPr>
        <w:t>positions suivantes</w:t>
      </w:r>
      <w:r w:rsidRPr="003C6ED6">
        <w:rPr>
          <w:lang w:val="fr-CH"/>
        </w:rPr>
        <w:t>:</w:t>
      </w:r>
    </w:p>
    <w:p w:rsidR="00032B98" w:rsidRPr="003C6ED6" w:rsidRDefault="00032B98" w:rsidP="00032B98">
      <w:pPr>
        <w:pStyle w:val="berschrift3"/>
        <w:spacing w:after="0"/>
        <w:rPr>
          <w:lang w:val="fr-CH"/>
        </w:rPr>
      </w:pPr>
      <w:r w:rsidRPr="003C6ED6">
        <w:rPr>
          <w:lang w:val="fr-CH"/>
        </w:rPr>
        <w:t xml:space="preserve">- </w:t>
      </w:r>
      <w:r w:rsidRPr="002175E2">
        <w:rPr>
          <w:lang w:val="fr-CH"/>
        </w:rPr>
        <w:t>Montant de l’augmentation en cas d</w:t>
      </w:r>
      <w:r>
        <w:rPr>
          <w:lang w:val="fr-CH"/>
        </w:rPr>
        <w:t>e circonstances extraordinaires: l'art. 373 CO s’applique</w:t>
      </w:r>
      <w:r w:rsidRPr="002175E2">
        <w:rPr>
          <w:lang w:val="fr-CH"/>
        </w:rPr>
        <w:t>.</w:t>
      </w:r>
      <w:r>
        <w:rPr>
          <w:lang w:val="fr-CH"/>
        </w:rPr>
        <w:t xml:space="preserve"> </w:t>
      </w:r>
    </w:p>
    <w:p w:rsidR="00032B98" w:rsidRPr="003C6ED6" w:rsidRDefault="00032B98" w:rsidP="00032B98">
      <w:pPr>
        <w:pStyle w:val="berschrift3"/>
        <w:spacing w:after="0"/>
        <w:rPr>
          <w:lang w:val="fr-CH"/>
        </w:rPr>
      </w:pPr>
      <w:r w:rsidRPr="003C6ED6">
        <w:rPr>
          <w:lang w:val="fr-CH"/>
        </w:rPr>
        <w:t xml:space="preserve">- </w:t>
      </w:r>
      <w:r w:rsidRPr="002175E2">
        <w:rPr>
          <w:lang w:val="fr-CH"/>
        </w:rPr>
        <w:t>Per</w:t>
      </w:r>
      <w:r>
        <w:rPr>
          <w:lang w:val="fr-CH"/>
        </w:rPr>
        <w:t xml:space="preserve">te de l’ouvrage par cas fortuit: l’art. 376 CO s’applique </w:t>
      </w:r>
    </w:p>
    <w:p w:rsidR="00032B98" w:rsidRPr="003C6ED6" w:rsidRDefault="00032B98" w:rsidP="00032B98">
      <w:pPr>
        <w:pStyle w:val="berschrift3"/>
        <w:spacing w:after="0"/>
        <w:rPr>
          <w:lang w:val="fr-CH"/>
        </w:rPr>
      </w:pPr>
      <w:r w:rsidRPr="003C6ED6">
        <w:rPr>
          <w:lang w:val="fr-CH"/>
        </w:rPr>
        <w:t xml:space="preserve">- </w:t>
      </w:r>
      <w:r w:rsidRPr="002175E2">
        <w:rPr>
          <w:lang w:val="fr-CH"/>
        </w:rPr>
        <w:t>Délai de garantie</w:t>
      </w:r>
      <w:r w:rsidRPr="003C6ED6">
        <w:rPr>
          <w:lang w:val="fr-CH"/>
        </w:rPr>
        <w:t xml:space="preserve">: </w:t>
      </w:r>
      <w:r w:rsidRPr="002175E2">
        <w:rPr>
          <w:lang w:val="fr-CH"/>
        </w:rPr>
        <w:t>Les délais de réclamation sont réglés conformément aux art. 172 à 180 de la norme SIA 118</w:t>
      </w:r>
    </w:p>
    <w:p w:rsidR="00032B98" w:rsidRPr="003C6ED6" w:rsidRDefault="00032B98" w:rsidP="00032B98">
      <w:pPr>
        <w:pStyle w:val="berschrift3"/>
        <w:rPr>
          <w:lang w:val="fr-CH"/>
        </w:rPr>
      </w:pPr>
      <w:r w:rsidRPr="003C6ED6">
        <w:rPr>
          <w:lang w:val="fr-CH"/>
        </w:rPr>
        <w:t xml:space="preserve">- </w:t>
      </w:r>
      <w:r w:rsidRPr="002175E2">
        <w:rPr>
          <w:lang w:val="fr-CH"/>
        </w:rPr>
        <w:t>Les droits à la réparation de la chose, à une réduction de prix, à la résiliation de la vente ou à des dommages</w:t>
      </w:r>
      <w:r>
        <w:rPr>
          <w:lang w:val="fr-CH"/>
        </w:rPr>
        <w:t>-</w:t>
      </w:r>
      <w:r w:rsidRPr="002175E2">
        <w:rPr>
          <w:lang w:val="fr-CH"/>
        </w:rPr>
        <w:t>intérêts sont réglés conformément aux art. 169 à 171 de la norme SIA 118</w:t>
      </w:r>
      <w:r w:rsidRPr="003C6ED6">
        <w:rPr>
          <w:lang w:val="fr-CH"/>
        </w:rPr>
        <w:t>.</w:t>
      </w: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rPr>
          <w:b/>
          <w:lang w:val="fr-CH"/>
        </w:rPr>
      </w:pPr>
      <w:r w:rsidRPr="003C6ED6">
        <w:rPr>
          <w:b/>
          <w:lang w:val="fr-CH"/>
        </w:rPr>
        <w:t xml:space="preserve">7 </w:t>
      </w:r>
      <w:r w:rsidRPr="003C6ED6">
        <w:rPr>
          <w:b/>
          <w:lang w:val="fr-CH"/>
        </w:rPr>
        <w:tab/>
      </w:r>
      <w:r w:rsidRPr="002175E2">
        <w:rPr>
          <w:b/>
          <w:lang w:val="fr-CH"/>
        </w:rPr>
        <w:t>Réception des travaux ou de l’ouvrage</w:t>
      </w: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spacing w:after="0"/>
        <w:rPr>
          <w:lang w:val="fr-CH"/>
        </w:rPr>
      </w:pPr>
      <w:r w:rsidRPr="002175E2">
        <w:rPr>
          <w:lang w:val="fr-CH"/>
        </w:rPr>
        <w:t>Une fois les travaux terminés, leur réception est effectuée par les parties au contrat ou leurs représe</w:t>
      </w:r>
      <w:r w:rsidRPr="002175E2">
        <w:rPr>
          <w:lang w:val="fr-CH"/>
        </w:rPr>
        <w:t>n</w:t>
      </w:r>
      <w:r w:rsidRPr="002175E2">
        <w:rPr>
          <w:lang w:val="fr-CH"/>
        </w:rPr>
        <w:t>tants autorisés. Les défauts et dommages éventuels sont constatés sur place et, si possible, évalués directement. Les défauts observés font l’objet d'un procès-verbal. Des réclamations ultérieures ne sont admises que pour des défauts qui n’étaient pas reconnaissables lors de la réception.</w:t>
      </w:r>
      <w:r>
        <w:rPr>
          <w:lang w:val="fr-CH"/>
        </w:rPr>
        <w:t xml:space="preserve"> </w:t>
      </w:r>
      <w:r w:rsidRPr="002175E2">
        <w:rPr>
          <w:lang w:val="fr-CH"/>
        </w:rPr>
        <w:t>Pour le reste, l’acceptation des ouvrages est réglée par l’art. 370 CO.</w:t>
      </w:r>
      <w:r>
        <w:rPr>
          <w:lang w:val="fr-CH"/>
        </w:rPr>
        <w:t xml:space="preserve"> </w:t>
      </w:r>
      <w:r w:rsidRPr="002175E2">
        <w:rPr>
          <w:lang w:val="fr-CH"/>
        </w:rPr>
        <w:t>La réclamation en garantie pour les défauts des ouvrages est soumise au</w:t>
      </w:r>
      <w:r>
        <w:rPr>
          <w:lang w:val="fr-CH"/>
        </w:rPr>
        <w:t xml:space="preserve"> point 6</w:t>
      </w:r>
      <w:r w:rsidRPr="002175E2">
        <w:rPr>
          <w:lang w:val="fr-CH"/>
        </w:rPr>
        <w:t xml:space="preserve"> des présentes Conditions générales.</w:t>
      </w:r>
      <w:r w:rsidRPr="003C6ED6">
        <w:rPr>
          <w:lang w:val="fr-CH"/>
        </w:rPr>
        <w:t>.</w:t>
      </w:r>
    </w:p>
    <w:p w:rsidR="00032B98" w:rsidRPr="003C6ED6" w:rsidRDefault="00032B98" w:rsidP="00032B98">
      <w:pPr>
        <w:pStyle w:val="ohneAbstand"/>
        <w:rPr>
          <w:lang w:val="fr-CH"/>
        </w:rPr>
      </w:pP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rPr>
          <w:b/>
          <w:lang w:val="fr-CH"/>
        </w:rPr>
      </w:pPr>
      <w:r w:rsidRPr="003C6ED6">
        <w:rPr>
          <w:b/>
          <w:lang w:val="fr-CH"/>
        </w:rPr>
        <w:t xml:space="preserve">8 </w:t>
      </w:r>
      <w:r w:rsidRPr="003C6ED6">
        <w:rPr>
          <w:b/>
          <w:lang w:val="fr-CH"/>
        </w:rPr>
        <w:tab/>
      </w:r>
      <w:r w:rsidRPr="002175E2">
        <w:rPr>
          <w:b/>
          <w:lang w:val="fr-CH"/>
        </w:rPr>
        <w:t>Obligation de terminer les travaux</w:t>
      </w: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spacing w:after="0"/>
        <w:rPr>
          <w:lang w:val="fr-CH"/>
        </w:rPr>
      </w:pPr>
      <w:r w:rsidRPr="002175E2">
        <w:rPr>
          <w:lang w:val="fr-CH"/>
        </w:rPr>
        <w:t>Des différends entre les parties ou le dépôt d’une plainte contre le mandataire/l’entrepreneur n'autor</w:t>
      </w:r>
      <w:r w:rsidRPr="002175E2">
        <w:rPr>
          <w:lang w:val="fr-CH"/>
        </w:rPr>
        <w:t>i</w:t>
      </w:r>
      <w:r w:rsidRPr="002175E2">
        <w:rPr>
          <w:lang w:val="fr-CH"/>
        </w:rPr>
        <w:t xml:space="preserve">sent pas ce dernier à suspendre ou retarder les travaux </w:t>
      </w:r>
      <w:r>
        <w:rPr>
          <w:lang w:val="fr-CH"/>
        </w:rPr>
        <w:t>en cours ni les livraisons dues</w:t>
      </w:r>
      <w:r w:rsidRPr="003C6ED6">
        <w:rPr>
          <w:lang w:val="fr-CH"/>
        </w:rPr>
        <w:t>.</w:t>
      </w:r>
    </w:p>
    <w:p w:rsidR="00032B98" w:rsidRPr="003C6ED6" w:rsidRDefault="00032B98" w:rsidP="00032B98">
      <w:pPr>
        <w:pStyle w:val="ohneAbstand"/>
        <w:rPr>
          <w:lang w:val="fr-CH"/>
        </w:rPr>
      </w:pP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rPr>
          <w:b/>
          <w:lang w:val="fr-CH"/>
        </w:rPr>
      </w:pPr>
      <w:r w:rsidRPr="003C6ED6">
        <w:rPr>
          <w:b/>
          <w:lang w:val="fr-CH"/>
        </w:rPr>
        <w:t xml:space="preserve">9 </w:t>
      </w:r>
      <w:r w:rsidRPr="003C6ED6">
        <w:rPr>
          <w:b/>
          <w:lang w:val="fr-CH"/>
        </w:rPr>
        <w:tab/>
      </w:r>
      <w:r w:rsidRPr="002175E2">
        <w:rPr>
          <w:b/>
          <w:lang w:val="fr-CH"/>
        </w:rPr>
        <w:t>Assurance du mandataire/de l’entrepreneur</w:t>
      </w: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spacing w:after="0"/>
        <w:rPr>
          <w:lang w:val="fr-CH"/>
        </w:rPr>
      </w:pPr>
      <w:r w:rsidRPr="002175E2">
        <w:rPr>
          <w:lang w:val="fr-CH"/>
        </w:rPr>
        <w:t>Le mandataire/l’entrepreneur est tenu de contracter et de maintenir pour toute la durée des travaux, y compris le délai de garantie, une assurance responsabilité civile d’entreprise suffisante envers le mandant.</w:t>
      </w:r>
      <w:r>
        <w:rPr>
          <w:lang w:val="fr-CH"/>
        </w:rPr>
        <w:t xml:space="preserve"> </w:t>
      </w:r>
      <w:r w:rsidRPr="002175E2">
        <w:rPr>
          <w:lang w:val="fr-CH"/>
        </w:rPr>
        <w:t>Sur demande du mandant, le mandataire doit produire une attestation d’assurance.</w:t>
      </w:r>
    </w:p>
    <w:p w:rsidR="00032B98" w:rsidRPr="003C6ED6" w:rsidRDefault="00032B98" w:rsidP="00032B98">
      <w:pPr>
        <w:pStyle w:val="ohneAbstand"/>
        <w:rPr>
          <w:lang w:val="fr-CH"/>
        </w:rPr>
      </w:pP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rPr>
          <w:b/>
          <w:lang w:val="fr-CH"/>
        </w:rPr>
      </w:pPr>
      <w:r w:rsidRPr="003C6ED6">
        <w:rPr>
          <w:b/>
          <w:lang w:val="fr-CH"/>
        </w:rPr>
        <w:t xml:space="preserve">10 </w:t>
      </w:r>
      <w:r w:rsidRPr="003C6ED6">
        <w:rPr>
          <w:b/>
          <w:lang w:val="fr-CH"/>
        </w:rPr>
        <w:tab/>
      </w:r>
      <w:r w:rsidRPr="009528C8">
        <w:rPr>
          <w:b/>
          <w:lang w:val="fr-CH"/>
        </w:rPr>
        <w:t>Droit de résiliation du mandant</w:t>
      </w: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spacing w:after="0"/>
        <w:rPr>
          <w:lang w:val="fr-CH"/>
        </w:rPr>
      </w:pPr>
      <w:r>
        <w:rPr>
          <w:lang w:val="fr-CH"/>
        </w:rPr>
        <w:t>En plus du point 6</w:t>
      </w:r>
      <w:r w:rsidRPr="009528C8">
        <w:rPr>
          <w:lang w:val="fr-CH"/>
        </w:rPr>
        <w:t xml:space="preserve"> des présentes Conditions générales, le mandant a le droit de résilier le contrat d’entreprise, après avertissement adressé au mandataire/à l’entrepreneur, si celui-ci a enfreint des instructions essentielles ou a manqué gravement à ses obligations contractuelles</w:t>
      </w:r>
      <w:r w:rsidRPr="003C6ED6">
        <w:rPr>
          <w:lang w:val="fr-CH"/>
        </w:rPr>
        <w:t>.</w:t>
      </w:r>
    </w:p>
    <w:p w:rsidR="00032B98" w:rsidRPr="003C6ED6" w:rsidRDefault="00032B98" w:rsidP="00032B98">
      <w:pPr>
        <w:pStyle w:val="ohneAbstand"/>
        <w:rPr>
          <w:lang w:val="fr-CH"/>
        </w:rPr>
      </w:pP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rPr>
          <w:b/>
          <w:lang w:val="fr-CH"/>
        </w:rPr>
      </w:pPr>
      <w:r>
        <w:rPr>
          <w:b/>
          <w:lang w:val="fr-CH"/>
        </w:rPr>
        <w:t>Complément</w:t>
      </w:r>
      <w:r w:rsidRPr="003C6ED6">
        <w:rPr>
          <w:b/>
          <w:lang w:val="fr-CH"/>
        </w:rPr>
        <w:t xml:space="preserve">: </w:t>
      </w:r>
      <w:r>
        <w:rPr>
          <w:b/>
          <w:lang w:val="fr-CH"/>
        </w:rPr>
        <w:t>Exigences</w:t>
      </w:r>
      <w:r w:rsidRPr="003C6ED6">
        <w:rPr>
          <w:b/>
          <w:lang w:val="fr-CH"/>
        </w:rPr>
        <w:t xml:space="preserve"> FSC/PEFC </w:t>
      </w:r>
    </w:p>
    <w:p w:rsidR="00032B98" w:rsidRPr="003C6ED6"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rPr>
          <w:lang w:val="fr-CH"/>
        </w:rPr>
      </w:pPr>
      <w:r>
        <w:rPr>
          <w:lang w:val="fr-CH"/>
        </w:rPr>
        <w:t>L</w:t>
      </w:r>
      <w:r w:rsidRPr="009528C8">
        <w:rPr>
          <w:lang w:val="fr-CH"/>
        </w:rPr>
        <w:t>e</w:t>
      </w:r>
      <w:r>
        <w:rPr>
          <w:lang w:val="fr-CH"/>
        </w:rPr>
        <w:t xml:space="preserve"> personnel du mandataire / de l’entrepreneur</w:t>
      </w:r>
      <w:r w:rsidRPr="009528C8">
        <w:rPr>
          <w:lang w:val="fr-CH"/>
        </w:rPr>
        <w:t xml:space="preserve"> doit recevoir un salaire et des</w:t>
      </w:r>
      <w:r>
        <w:rPr>
          <w:lang w:val="fr-CH"/>
        </w:rPr>
        <w:t xml:space="preserve"> </w:t>
      </w:r>
      <w:r w:rsidRPr="009528C8">
        <w:rPr>
          <w:lang w:val="fr-CH"/>
        </w:rPr>
        <w:t xml:space="preserve">prestations sociales équitables pour </w:t>
      </w:r>
      <w:r>
        <w:rPr>
          <w:lang w:val="fr-CH"/>
        </w:rPr>
        <w:t>son</w:t>
      </w:r>
      <w:r w:rsidRPr="009528C8">
        <w:rPr>
          <w:lang w:val="fr-CH"/>
        </w:rPr>
        <w:t xml:space="preserve"> travail. Les conditions d'engagement correspondent à celles de</w:t>
      </w:r>
      <w:r>
        <w:rPr>
          <w:lang w:val="fr-CH"/>
        </w:rPr>
        <w:t xml:space="preserve"> </w:t>
      </w:r>
      <w:r w:rsidRPr="009528C8">
        <w:rPr>
          <w:lang w:val="fr-CH"/>
        </w:rPr>
        <w:t>professions co</w:t>
      </w:r>
      <w:r w:rsidRPr="009528C8">
        <w:rPr>
          <w:lang w:val="fr-CH"/>
        </w:rPr>
        <w:t>m</w:t>
      </w:r>
      <w:r w:rsidRPr="009528C8">
        <w:rPr>
          <w:lang w:val="fr-CH"/>
        </w:rPr>
        <w:t>parables dans la région</w:t>
      </w:r>
      <w:r>
        <w:rPr>
          <w:lang w:val="fr-CH"/>
        </w:rPr>
        <w:t>.</w:t>
      </w:r>
    </w:p>
    <w:p w:rsidR="00032B98"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rPr>
          <w:lang w:val="fr-CH"/>
        </w:rPr>
      </w:pPr>
      <w:r w:rsidRPr="009528C8">
        <w:rPr>
          <w:lang w:val="fr-CH"/>
        </w:rPr>
        <w:t>Protection du sol: Le passage sur sol forestier avec machines en dehors des installations de desserte est interdit.</w:t>
      </w:r>
      <w:r>
        <w:rPr>
          <w:lang w:val="fr-CH"/>
        </w:rPr>
        <w:t xml:space="preserve"> Le mandant définit d</w:t>
      </w:r>
      <w:r w:rsidRPr="009528C8">
        <w:rPr>
          <w:lang w:val="fr-CH"/>
        </w:rPr>
        <w:t xml:space="preserve">es contrôles et les sanctions en cas de violation. Sur les layons de débardage </w:t>
      </w:r>
      <w:r>
        <w:rPr>
          <w:lang w:val="fr-CH"/>
        </w:rPr>
        <w:t xml:space="preserve">le </w:t>
      </w:r>
      <w:r w:rsidRPr="009528C8">
        <w:rPr>
          <w:lang w:val="fr-CH"/>
        </w:rPr>
        <w:t xml:space="preserve">type d’ornières III </w:t>
      </w:r>
      <w:r>
        <w:rPr>
          <w:lang w:val="fr-CH"/>
        </w:rPr>
        <w:t xml:space="preserve">(profondeur plus que 10 cm avec </w:t>
      </w:r>
      <w:r w:rsidRPr="003323E7">
        <w:rPr>
          <w:lang w:val="fr-CH"/>
        </w:rPr>
        <w:t>présence de bourrelets</w:t>
      </w:r>
      <w:r>
        <w:rPr>
          <w:lang w:val="fr-CH"/>
        </w:rPr>
        <w:t xml:space="preserve"> </w:t>
      </w:r>
      <w:r w:rsidRPr="003323E7">
        <w:rPr>
          <w:lang w:val="fr-CH"/>
        </w:rPr>
        <w:t>latéraux provoqués par</w:t>
      </w:r>
      <w:r>
        <w:rPr>
          <w:lang w:val="fr-CH"/>
        </w:rPr>
        <w:t xml:space="preserve"> </w:t>
      </w:r>
      <w:r w:rsidRPr="003323E7">
        <w:rPr>
          <w:lang w:val="fr-CH"/>
        </w:rPr>
        <w:t>la fluidification du sol</w:t>
      </w:r>
      <w:r>
        <w:rPr>
          <w:lang w:val="fr-CH"/>
        </w:rPr>
        <w:t>)</w:t>
      </w:r>
      <w:r w:rsidRPr="009528C8">
        <w:rPr>
          <w:rStyle w:val="Funotenzeichen"/>
          <w:i/>
          <w:lang w:val="fr-CH"/>
        </w:rPr>
        <w:footnoteReference w:id="1"/>
      </w:r>
      <w:r>
        <w:rPr>
          <w:lang w:val="fr-CH"/>
        </w:rPr>
        <w:t xml:space="preserve"> </w:t>
      </w:r>
      <w:r w:rsidRPr="003323E7">
        <w:rPr>
          <w:lang w:val="fr-CH"/>
        </w:rPr>
        <w:t>doi</w:t>
      </w:r>
      <w:r>
        <w:rPr>
          <w:lang w:val="fr-CH"/>
        </w:rPr>
        <w:t>t être empêché. E</w:t>
      </w:r>
      <w:r w:rsidRPr="009528C8">
        <w:rPr>
          <w:lang w:val="fr-CH"/>
        </w:rPr>
        <w:t>n cas d’intempéries</w:t>
      </w:r>
      <w:r>
        <w:rPr>
          <w:lang w:val="fr-CH"/>
        </w:rPr>
        <w:t xml:space="preserve"> l</w:t>
      </w:r>
      <w:r w:rsidRPr="009528C8">
        <w:rPr>
          <w:lang w:val="fr-CH"/>
        </w:rPr>
        <w:t xml:space="preserve">es interruptions de travail doivent être réglées </w:t>
      </w:r>
      <w:r>
        <w:rPr>
          <w:lang w:val="fr-CH"/>
        </w:rPr>
        <w:t xml:space="preserve">en concertation avec le mandant. </w:t>
      </w:r>
    </w:p>
    <w:p w:rsidR="00032B98" w:rsidRPr="00953895" w:rsidRDefault="00032B98" w:rsidP="00032B98">
      <w:pPr>
        <w:pBdr>
          <w:top w:val="single" w:sz="4" w:space="4" w:color="auto"/>
          <w:left w:val="single" w:sz="4" w:space="4" w:color="auto"/>
          <w:bottom w:val="single" w:sz="4" w:space="4" w:color="auto"/>
          <w:right w:val="single" w:sz="4" w:space="4" w:color="auto"/>
        </w:pBdr>
        <w:tabs>
          <w:tab w:val="left" w:pos="400"/>
          <w:tab w:val="left" w:pos="2835"/>
          <w:tab w:val="left" w:leader="dot" w:pos="9072"/>
        </w:tabs>
        <w:rPr>
          <w:lang w:val="fr-FR"/>
        </w:rPr>
      </w:pPr>
      <w:r>
        <w:rPr>
          <w:lang w:val="fr-CH"/>
        </w:rPr>
        <w:lastRenderedPageBreak/>
        <w:t>L’</w:t>
      </w:r>
      <w:r w:rsidRPr="003323E7">
        <w:rPr>
          <w:lang w:val="fr-CH"/>
        </w:rPr>
        <w:t>entrepreneur utilise des carburants spéciaux, de</w:t>
      </w:r>
      <w:r>
        <w:rPr>
          <w:lang w:val="fr-CH"/>
        </w:rPr>
        <w:t>s</w:t>
      </w:r>
      <w:r w:rsidRPr="003323E7">
        <w:rPr>
          <w:lang w:val="fr-CH"/>
        </w:rPr>
        <w:t xml:space="preserve"> huile</w:t>
      </w:r>
      <w:r>
        <w:rPr>
          <w:lang w:val="fr-CH"/>
        </w:rPr>
        <w:t>s</w:t>
      </w:r>
      <w:r w:rsidRPr="003323E7">
        <w:rPr>
          <w:lang w:val="fr-CH"/>
        </w:rPr>
        <w:t xml:space="preserve"> de chaîne</w:t>
      </w:r>
      <w:r>
        <w:rPr>
          <w:lang w:val="fr-CH"/>
        </w:rPr>
        <w:t>s</w:t>
      </w:r>
      <w:r w:rsidRPr="003323E7">
        <w:rPr>
          <w:lang w:val="fr-CH"/>
        </w:rPr>
        <w:t xml:space="preserve"> biologique</w:t>
      </w:r>
      <w:r>
        <w:rPr>
          <w:lang w:val="fr-CH"/>
        </w:rPr>
        <w:t>s</w:t>
      </w:r>
      <w:r w:rsidRPr="003323E7">
        <w:rPr>
          <w:lang w:val="fr-CH"/>
        </w:rPr>
        <w:t xml:space="preserve"> et si </w:t>
      </w:r>
      <w:r>
        <w:rPr>
          <w:lang w:val="fr-CH"/>
        </w:rPr>
        <w:t xml:space="preserve">cela est </w:t>
      </w:r>
      <w:r w:rsidRPr="003323E7">
        <w:rPr>
          <w:lang w:val="fr-CH"/>
        </w:rPr>
        <w:t>po</w:t>
      </w:r>
      <w:r w:rsidRPr="003323E7">
        <w:rPr>
          <w:lang w:val="fr-CH"/>
        </w:rPr>
        <w:t>s</w:t>
      </w:r>
      <w:r w:rsidRPr="003323E7">
        <w:rPr>
          <w:lang w:val="fr-CH"/>
        </w:rPr>
        <w:t>sible techniquement de</w:t>
      </w:r>
      <w:r>
        <w:rPr>
          <w:lang w:val="fr-CH"/>
        </w:rPr>
        <w:t>s</w:t>
      </w:r>
      <w:r w:rsidRPr="003323E7">
        <w:rPr>
          <w:lang w:val="fr-CH"/>
        </w:rPr>
        <w:t xml:space="preserve"> huile</w:t>
      </w:r>
      <w:r>
        <w:rPr>
          <w:lang w:val="fr-CH"/>
        </w:rPr>
        <w:t>s</w:t>
      </w:r>
      <w:r w:rsidRPr="003323E7">
        <w:rPr>
          <w:lang w:val="fr-CH"/>
        </w:rPr>
        <w:t xml:space="preserve"> hydraulique</w:t>
      </w:r>
      <w:r>
        <w:rPr>
          <w:lang w:val="fr-CH"/>
        </w:rPr>
        <w:t>s</w:t>
      </w:r>
      <w:r w:rsidRPr="003323E7">
        <w:rPr>
          <w:lang w:val="fr-CH"/>
        </w:rPr>
        <w:t xml:space="preserve"> biodégradable</w:t>
      </w:r>
      <w:r>
        <w:rPr>
          <w:lang w:val="fr-CH"/>
        </w:rPr>
        <w:t>s</w:t>
      </w:r>
      <w:r w:rsidRPr="003323E7">
        <w:rPr>
          <w:lang w:val="fr-CH"/>
        </w:rPr>
        <w:t>.</w:t>
      </w:r>
      <w:r>
        <w:rPr>
          <w:lang w:val="fr-CH"/>
        </w:rPr>
        <w:t xml:space="preserve"> </w:t>
      </w:r>
      <w:r w:rsidRPr="003323E7">
        <w:rPr>
          <w:lang w:val="fr-CH"/>
        </w:rPr>
        <w:t xml:space="preserve">Le personnel connaît les mesures d’urgence à prendre pour récolter et évacuer de l’huile ou des substances chimiques renversées par inadvertance. </w:t>
      </w:r>
      <w:r w:rsidRPr="00953895">
        <w:rPr>
          <w:lang w:val="fr-FR"/>
        </w:rPr>
        <w:t xml:space="preserve">Des produits doivent être disponibles à cet effet sur les lieux de travail (liants/nattes). </w:t>
      </w:r>
    </w:p>
    <w:p w:rsidR="00C467F5" w:rsidRPr="00032B98" w:rsidRDefault="00C467F5" w:rsidP="00032B98">
      <w:pPr>
        <w:rPr>
          <w:lang w:val="fr-FR"/>
        </w:rPr>
      </w:pPr>
    </w:p>
    <w:sectPr w:rsidR="00C467F5" w:rsidRPr="00032B98" w:rsidSect="00FF0266">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851"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FCA" w:rsidRDefault="00686FCA">
      <w:r>
        <w:separator/>
      </w:r>
    </w:p>
  </w:endnote>
  <w:endnote w:type="continuationSeparator" w:id="0">
    <w:p w:rsidR="00686FCA" w:rsidRDefault="0068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98" w:rsidRDefault="00032B9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98" w:rsidRDefault="00032B9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3"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21"/>
      <w:gridCol w:w="1417"/>
      <w:gridCol w:w="4820"/>
      <w:gridCol w:w="1134"/>
      <w:gridCol w:w="1591"/>
    </w:tblGrid>
    <w:tr w:rsidR="00032B98" w:rsidTr="00032B98">
      <w:tc>
        <w:tcPr>
          <w:tcW w:w="921" w:type="dxa"/>
        </w:tcPr>
        <w:p w:rsidR="00032B98" w:rsidRDefault="00032B98" w:rsidP="00B42E89">
          <w:pPr>
            <w:spacing w:before="40" w:after="40"/>
          </w:pPr>
          <w:r>
            <w:t>Version:</w:t>
          </w:r>
        </w:p>
      </w:tc>
      <w:tc>
        <w:tcPr>
          <w:tcW w:w="1417" w:type="dxa"/>
        </w:tcPr>
        <w:p w:rsidR="00032B98" w:rsidRDefault="00032B98" w:rsidP="00B42E89">
          <w:pPr>
            <w:spacing w:before="40" w:after="40"/>
          </w:pPr>
          <w:r>
            <w:t>12.01.2012</w:t>
          </w:r>
          <w:bookmarkStart w:id="0" w:name="_GoBack"/>
          <w:bookmarkEnd w:id="0"/>
        </w:p>
      </w:tc>
      <w:tc>
        <w:tcPr>
          <w:tcW w:w="4820" w:type="dxa"/>
        </w:tcPr>
        <w:p w:rsidR="00032B98" w:rsidRDefault="00032B98" w:rsidP="00B42E89">
          <w:pPr>
            <w:spacing w:before="40" w:after="40"/>
          </w:pPr>
        </w:p>
      </w:tc>
      <w:tc>
        <w:tcPr>
          <w:tcW w:w="1134" w:type="dxa"/>
        </w:tcPr>
        <w:p w:rsidR="00032B98" w:rsidRDefault="00032B98" w:rsidP="00B42E89">
          <w:pPr>
            <w:spacing w:before="40" w:after="40"/>
          </w:pPr>
          <w:r>
            <w:t>Libération:</w:t>
          </w:r>
        </w:p>
      </w:tc>
      <w:tc>
        <w:tcPr>
          <w:tcW w:w="1591" w:type="dxa"/>
        </w:tcPr>
        <w:p w:rsidR="00032B98" w:rsidRDefault="00032B98" w:rsidP="00B42E89">
          <w:pPr>
            <w:spacing w:before="40" w:after="40"/>
            <w:jc w:val="right"/>
          </w:pPr>
          <w:r>
            <w:t>Stefan Flückiger</w:t>
          </w:r>
        </w:p>
      </w:tc>
    </w:tr>
  </w:tbl>
  <w:p w:rsidR="00C467F5" w:rsidRPr="003E620B" w:rsidRDefault="00C467F5" w:rsidP="003E620B">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FCA" w:rsidRDefault="00686FCA">
      <w:r>
        <w:separator/>
      </w:r>
    </w:p>
  </w:footnote>
  <w:footnote w:type="continuationSeparator" w:id="0">
    <w:p w:rsidR="00686FCA" w:rsidRDefault="00686FCA">
      <w:r>
        <w:continuationSeparator/>
      </w:r>
    </w:p>
  </w:footnote>
  <w:footnote w:id="1">
    <w:p w:rsidR="00032B98" w:rsidRDefault="00032B98" w:rsidP="00032B98">
      <w:pPr>
        <w:pStyle w:val="Funotentext"/>
      </w:pPr>
      <w:r>
        <w:rPr>
          <w:rStyle w:val="Funotenzeichen"/>
        </w:rPr>
        <w:footnoteRef/>
      </w:r>
      <w:r>
        <w:t xml:space="preserve"> </w:t>
      </w:r>
      <w:r w:rsidRPr="003323E7">
        <w:t>selon les notices WSL</w:t>
      </w:r>
      <w:r w:rsidRPr="003323E7">
        <w:rPr>
          <w:szCs w:val="18"/>
        </w:rPr>
        <w:t xml:space="preserve"> </w:t>
      </w:r>
      <w:r w:rsidRPr="003323E7">
        <w:rPr>
          <w:sz w:val="18"/>
          <w:szCs w:val="18"/>
        </w:rPr>
        <w:t>‚Protection physique des sols en forê</w:t>
      </w:r>
      <w:r w:rsidRPr="00953895">
        <w:rPr>
          <w:sz w:val="18"/>
          <w:szCs w:val="18"/>
          <w:lang w:val="fr-FR"/>
        </w:rPr>
        <w:t>t</w:t>
      </w:r>
      <w:r w:rsidRPr="004E61B8">
        <w:rPr>
          <w:sz w:val="18"/>
          <w:szCs w:val="18"/>
        </w:rPr>
        <w:t xml:space="preserve">‘, </w:t>
      </w:r>
      <w:hyperlink r:id="rId1" w:history="1">
        <w:r w:rsidRPr="007A3686">
          <w:rPr>
            <w:rStyle w:val="Hyperlink"/>
            <w:sz w:val="18"/>
            <w:szCs w:val="18"/>
          </w:rPr>
          <w:t>http://www.wsl.ch/p</w:t>
        </w:r>
        <w:r w:rsidRPr="007A3686">
          <w:rPr>
            <w:rStyle w:val="Hyperlink"/>
            <w:sz w:val="18"/>
            <w:szCs w:val="18"/>
          </w:rPr>
          <w:t>u</w:t>
        </w:r>
        <w:r w:rsidRPr="007A3686">
          <w:rPr>
            <w:rStyle w:val="Hyperlink"/>
            <w:sz w:val="18"/>
            <w:szCs w:val="18"/>
          </w:rPr>
          <w:t>blikation</w:t>
        </w:r>
        <w:r w:rsidRPr="007A3686">
          <w:rPr>
            <w:rStyle w:val="Hyperlink"/>
            <w:sz w:val="18"/>
            <w:szCs w:val="18"/>
          </w:rPr>
          <w:t>e</w:t>
        </w:r>
        <w:r w:rsidRPr="007A3686">
          <w:rPr>
            <w:rStyle w:val="Hyperlink"/>
            <w:sz w:val="18"/>
            <w:szCs w:val="18"/>
          </w:rPr>
          <w:t>n/pdf/970</w:t>
        </w:r>
        <w:r w:rsidRPr="00953895">
          <w:rPr>
            <w:rStyle w:val="Hyperlink"/>
            <w:sz w:val="18"/>
            <w:szCs w:val="18"/>
            <w:lang w:val="fr-FR"/>
          </w:rPr>
          <w:t>2</w:t>
        </w:r>
        <w:r w:rsidRPr="007A3686">
          <w:rPr>
            <w:rStyle w:val="Hyperlink"/>
            <w:sz w:val="18"/>
            <w:szCs w:val="18"/>
          </w:rPr>
          <w:t>.pdf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98" w:rsidRDefault="00032B9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125" w:type="dxa"/>
      <w:jc w:val="center"/>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89"/>
      <w:gridCol w:w="1536"/>
    </w:tblGrid>
    <w:tr w:rsidR="00D643B6" w:rsidTr="00D643B6">
      <w:trPr>
        <w:trHeight w:val="50"/>
        <w:jc w:val="center"/>
      </w:trPr>
      <w:tc>
        <w:tcPr>
          <w:tcW w:w="2589" w:type="dxa"/>
          <w:tcBorders>
            <w:top w:val="single" w:sz="4" w:space="0" w:color="auto"/>
            <w:left w:val="single" w:sz="4" w:space="0" w:color="auto"/>
            <w:right w:val="single" w:sz="4" w:space="0" w:color="auto"/>
          </w:tcBorders>
          <w:hideMark/>
        </w:tcPr>
        <w:p w:rsidR="00D643B6" w:rsidRPr="00D643B6" w:rsidRDefault="000D664E" w:rsidP="00D643B6">
          <w:pPr>
            <w:spacing w:before="100" w:after="40"/>
            <w:jc w:val="center"/>
            <w:rPr>
              <w:sz w:val="22"/>
              <w:szCs w:val="22"/>
            </w:rPr>
          </w:pPr>
          <w:r>
            <w:rPr>
              <w:b/>
              <w:sz w:val="22"/>
              <w:szCs w:val="22"/>
            </w:rPr>
            <w:fldChar w:fldCharType="begin"/>
          </w:r>
          <w:r>
            <w:rPr>
              <w:b/>
              <w:sz w:val="22"/>
              <w:szCs w:val="22"/>
            </w:rPr>
            <w:instrText xml:space="preserve"> TITLE   \* MERGEFORMAT </w:instrText>
          </w:r>
          <w:r>
            <w:rPr>
              <w:b/>
              <w:sz w:val="22"/>
              <w:szCs w:val="22"/>
            </w:rPr>
            <w:fldChar w:fldCharType="separate"/>
          </w:r>
          <w:r w:rsidR="00221A9C">
            <w:rPr>
              <w:b/>
              <w:sz w:val="22"/>
              <w:szCs w:val="22"/>
            </w:rPr>
            <w:t>M201-12V</w:t>
          </w:r>
          <w:r>
            <w:rPr>
              <w:b/>
              <w:sz w:val="22"/>
              <w:szCs w:val="22"/>
            </w:rPr>
            <w:fldChar w:fldCharType="end"/>
          </w:r>
        </w:p>
      </w:tc>
      <w:tc>
        <w:tcPr>
          <w:tcW w:w="1536" w:type="dxa"/>
          <w:tcBorders>
            <w:top w:val="single" w:sz="4" w:space="0" w:color="auto"/>
            <w:left w:val="single" w:sz="4" w:space="0" w:color="auto"/>
            <w:right w:val="single" w:sz="4" w:space="0" w:color="auto"/>
          </w:tcBorders>
          <w:hideMark/>
        </w:tcPr>
        <w:p w:rsidR="00D643B6" w:rsidRDefault="00032B98" w:rsidP="00032B98">
          <w:pPr>
            <w:spacing w:before="100" w:after="40"/>
          </w:pPr>
          <w:r>
            <w:rPr>
              <w:sz w:val="22"/>
            </w:rPr>
            <w:t>Page</w:t>
          </w:r>
          <w:r w:rsidR="00D643B6" w:rsidRPr="00E30078">
            <w:rPr>
              <w:sz w:val="22"/>
            </w:rPr>
            <w:t xml:space="preserve"> </w:t>
          </w:r>
          <w:r w:rsidR="00D643B6" w:rsidRPr="00E30078">
            <w:rPr>
              <w:sz w:val="22"/>
            </w:rPr>
            <w:fldChar w:fldCharType="begin"/>
          </w:r>
          <w:r w:rsidR="00D643B6" w:rsidRPr="00E30078">
            <w:rPr>
              <w:sz w:val="22"/>
            </w:rPr>
            <w:instrText xml:space="preserve"> PAGE </w:instrText>
          </w:r>
          <w:r w:rsidR="00D643B6" w:rsidRPr="00E30078">
            <w:rPr>
              <w:sz w:val="22"/>
            </w:rPr>
            <w:fldChar w:fldCharType="separate"/>
          </w:r>
          <w:r>
            <w:rPr>
              <w:noProof/>
              <w:sz w:val="22"/>
            </w:rPr>
            <w:t>4</w:t>
          </w:r>
          <w:r w:rsidR="00D643B6" w:rsidRPr="00E30078">
            <w:rPr>
              <w:sz w:val="22"/>
            </w:rPr>
            <w:fldChar w:fldCharType="end"/>
          </w:r>
          <w:r w:rsidR="00D643B6" w:rsidRPr="00E30078">
            <w:rPr>
              <w:sz w:val="22"/>
            </w:rPr>
            <w:t xml:space="preserve"> </w:t>
          </w:r>
          <w:r>
            <w:rPr>
              <w:sz w:val="22"/>
            </w:rPr>
            <w:t>de</w:t>
          </w:r>
          <w:r w:rsidR="00D643B6" w:rsidRPr="00E30078">
            <w:rPr>
              <w:sz w:val="22"/>
            </w:rPr>
            <w:t xml:space="preserve"> </w:t>
          </w:r>
          <w:r w:rsidR="00D643B6" w:rsidRPr="00E30078">
            <w:rPr>
              <w:sz w:val="22"/>
            </w:rPr>
            <w:fldChar w:fldCharType="begin"/>
          </w:r>
          <w:r w:rsidR="00D643B6" w:rsidRPr="00E30078">
            <w:rPr>
              <w:sz w:val="22"/>
            </w:rPr>
            <w:instrText xml:space="preserve"> NUMPAGES  </w:instrText>
          </w:r>
          <w:r w:rsidR="00D643B6" w:rsidRPr="00E30078">
            <w:rPr>
              <w:sz w:val="22"/>
            </w:rPr>
            <w:fldChar w:fldCharType="separate"/>
          </w:r>
          <w:r>
            <w:rPr>
              <w:noProof/>
              <w:sz w:val="22"/>
            </w:rPr>
            <w:t>4</w:t>
          </w:r>
          <w:r w:rsidR="00D643B6" w:rsidRPr="00E30078">
            <w:rPr>
              <w:sz w:val="22"/>
            </w:rPr>
            <w:fldChar w:fldCharType="end"/>
          </w:r>
        </w:p>
      </w:tc>
    </w:tr>
  </w:tbl>
  <w:p w:rsidR="008D6F42" w:rsidRDefault="008D6F42" w:rsidP="008D6F42">
    <w:pPr>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2"/>
      <w:gridCol w:w="6237"/>
      <w:gridCol w:w="1701"/>
    </w:tblGrid>
    <w:tr w:rsidR="00401099" w:rsidTr="00401099">
      <w:trPr>
        <w:trHeight w:val="819"/>
        <w:jc w:val="center"/>
      </w:trPr>
      <w:tc>
        <w:tcPr>
          <w:tcW w:w="2622" w:type="dxa"/>
          <w:vMerge w:val="restart"/>
          <w:tcBorders>
            <w:top w:val="single" w:sz="4" w:space="0" w:color="auto"/>
            <w:left w:val="single" w:sz="4" w:space="0" w:color="auto"/>
            <w:right w:val="single" w:sz="4" w:space="0" w:color="auto"/>
          </w:tcBorders>
          <w:shd w:val="clear" w:color="auto" w:fill="auto"/>
          <w:hideMark/>
        </w:tcPr>
        <w:p w:rsidR="00401099" w:rsidRDefault="00686FCA" w:rsidP="0043320D">
          <w:pPr>
            <w:pStyle w:val="NeuesSignet"/>
            <w:spacing w:after="0"/>
            <w:jc w:val="left"/>
            <w:rPr>
              <w:rFonts w:ascii="Franklin Gothic Book" w:hAnsi="Franklin Gothic Book"/>
              <w:noProof/>
              <w:lang w:eastAsia="de-CH"/>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pt;margin-top:5.25pt;width:126.9pt;height:56.7pt;z-index:-1;mso-position-horizontal-relative:margin;mso-position-vertical-relative:margin" wrapcoords="-128 0 -128 21316 21600 21316 21600 0 -128 0">
                <v:imagedata r:id="rId1" o:title="re_logo_BWB_DMYK"/>
                <w10:wrap anchorx="margin" anchory="margin"/>
              </v:shape>
            </w:pict>
          </w:r>
        </w:p>
      </w:tc>
      <w:tc>
        <w:tcPr>
          <w:tcW w:w="6237" w:type="dxa"/>
          <w:tcBorders>
            <w:top w:val="single" w:sz="4" w:space="0" w:color="auto"/>
            <w:left w:val="single" w:sz="4" w:space="0" w:color="auto"/>
            <w:bottom w:val="nil"/>
            <w:right w:val="single" w:sz="4" w:space="0" w:color="auto"/>
          </w:tcBorders>
          <w:hideMark/>
        </w:tcPr>
        <w:p w:rsidR="00401099" w:rsidRPr="00032B98" w:rsidRDefault="00032B98" w:rsidP="00032B98">
          <w:pPr>
            <w:spacing w:before="100" w:after="40"/>
            <w:jc w:val="left"/>
            <w:rPr>
              <w:sz w:val="22"/>
              <w:lang w:val="fr-CH"/>
            </w:rPr>
          </w:pPr>
          <w:r w:rsidRPr="00DC1D08">
            <w:rPr>
              <w:sz w:val="22"/>
              <w:lang w:val="fr-CH"/>
            </w:rPr>
            <w:t>Manuel de certification</w:t>
          </w:r>
          <w:r w:rsidRPr="00DC1D08">
            <w:rPr>
              <w:sz w:val="22"/>
              <w:lang w:val="fr-CH"/>
            </w:rPr>
            <w:br/>
            <w:t xml:space="preserve">Certification de groupe </w:t>
          </w:r>
          <w:r>
            <w:rPr>
              <w:sz w:val="22"/>
              <w:lang w:val="fr-CH"/>
            </w:rPr>
            <w:t xml:space="preserve">/ </w:t>
          </w:r>
          <w:r w:rsidRPr="00DC1D08">
            <w:rPr>
              <w:sz w:val="22"/>
              <w:lang w:val="fr-CH"/>
            </w:rPr>
            <w:t>gestion de forêts</w:t>
          </w:r>
        </w:p>
      </w:tc>
      <w:tc>
        <w:tcPr>
          <w:tcW w:w="1701" w:type="dxa"/>
          <w:tcBorders>
            <w:top w:val="single" w:sz="4" w:space="0" w:color="auto"/>
            <w:left w:val="single" w:sz="4" w:space="0" w:color="auto"/>
            <w:bottom w:val="nil"/>
            <w:right w:val="single" w:sz="4" w:space="0" w:color="auto"/>
          </w:tcBorders>
          <w:hideMark/>
        </w:tcPr>
        <w:p w:rsidR="00401099" w:rsidRPr="00E30078" w:rsidRDefault="000D664E" w:rsidP="00710578">
          <w:pPr>
            <w:spacing w:before="100" w:after="40"/>
            <w:rPr>
              <w:b/>
              <w:sz w:val="22"/>
            </w:rPr>
          </w:pPr>
          <w:r>
            <w:rPr>
              <w:b/>
              <w:sz w:val="22"/>
            </w:rPr>
            <w:fldChar w:fldCharType="begin"/>
          </w:r>
          <w:r>
            <w:rPr>
              <w:b/>
              <w:sz w:val="22"/>
            </w:rPr>
            <w:instrText xml:space="preserve"> TITLE   \* MERGEFORMAT </w:instrText>
          </w:r>
          <w:r>
            <w:rPr>
              <w:b/>
              <w:sz w:val="22"/>
            </w:rPr>
            <w:fldChar w:fldCharType="separate"/>
          </w:r>
          <w:r w:rsidR="00221A9C">
            <w:rPr>
              <w:b/>
              <w:sz w:val="22"/>
            </w:rPr>
            <w:t>M201-12V</w:t>
          </w:r>
          <w:r>
            <w:rPr>
              <w:b/>
              <w:sz w:val="22"/>
            </w:rPr>
            <w:fldChar w:fldCharType="end"/>
          </w:r>
        </w:p>
        <w:p w:rsidR="00401099" w:rsidRPr="00E30078" w:rsidRDefault="00401099" w:rsidP="00710578">
          <w:pPr>
            <w:spacing w:before="100" w:after="40"/>
            <w:rPr>
              <w:sz w:val="22"/>
            </w:rPr>
          </w:pPr>
        </w:p>
      </w:tc>
    </w:tr>
    <w:tr w:rsidR="00401099" w:rsidTr="00401099">
      <w:trPr>
        <w:trHeight w:val="576"/>
        <w:jc w:val="center"/>
      </w:trPr>
      <w:tc>
        <w:tcPr>
          <w:tcW w:w="2622" w:type="dxa"/>
          <w:vMerge/>
          <w:tcBorders>
            <w:left w:val="single" w:sz="4" w:space="0" w:color="auto"/>
            <w:bottom w:val="single" w:sz="4" w:space="0" w:color="auto"/>
            <w:right w:val="single" w:sz="4" w:space="0" w:color="auto"/>
          </w:tcBorders>
          <w:shd w:val="clear" w:color="auto" w:fill="auto"/>
          <w:hideMark/>
        </w:tcPr>
        <w:p w:rsidR="00401099" w:rsidRDefault="00401099" w:rsidP="0043320D">
          <w:pPr>
            <w:pStyle w:val="NeuesSignet"/>
            <w:spacing w:after="0"/>
            <w:jc w:val="left"/>
            <w:rPr>
              <w:noProof/>
            </w:rPr>
          </w:pPr>
        </w:p>
      </w:tc>
      <w:tc>
        <w:tcPr>
          <w:tcW w:w="6237" w:type="dxa"/>
          <w:tcBorders>
            <w:top w:val="nil"/>
            <w:left w:val="single" w:sz="4" w:space="0" w:color="auto"/>
            <w:bottom w:val="single" w:sz="4" w:space="0" w:color="auto"/>
            <w:right w:val="single" w:sz="4" w:space="0" w:color="auto"/>
          </w:tcBorders>
          <w:hideMark/>
        </w:tcPr>
        <w:p w:rsidR="00401099" w:rsidRPr="00032B98" w:rsidRDefault="00032B98" w:rsidP="00710578">
          <w:pPr>
            <w:spacing w:before="100" w:after="40"/>
            <w:rPr>
              <w:lang w:val="fr-CH"/>
            </w:rPr>
          </w:pPr>
          <w:r>
            <w:rPr>
              <w:b/>
              <w:sz w:val="24"/>
              <w:lang w:val="fr-CH"/>
            </w:rPr>
            <w:t>Travaux &amp; ouv</w:t>
          </w:r>
          <w:r w:rsidRPr="00EC5999">
            <w:rPr>
              <w:b/>
              <w:sz w:val="24"/>
              <w:lang w:val="fr-CH"/>
            </w:rPr>
            <w:t xml:space="preserve">rages forestiers </w:t>
          </w:r>
          <w:r>
            <w:rPr>
              <w:b/>
              <w:sz w:val="24"/>
              <w:lang w:val="fr-CH"/>
            </w:rPr>
            <w:t>-</w:t>
          </w:r>
          <w:r w:rsidRPr="00EC5999">
            <w:rPr>
              <w:b/>
              <w:sz w:val="24"/>
              <w:lang w:val="fr-CH"/>
            </w:rPr>
            <w:t xml:space="preserve"> conditions générales</w:t>
          </w:r>
        </w:p>
      </w:tc>
      <w:tc>
        <w:tcPr>
          <w:tcW w:w="1701" w:type="dxa"/>
          <w:tcBorders>
            <w:top w:val="nil"/>
            <w:left w:val="single" w:sz="4" w:space="0" w:color="auto"/>
            <w:bottom w:val="single" w:sz="4" w:space="0" w:color="auto"/>
            <w:right w:val="single" w:sz="4" w:space="0" w:color="auto"/>
          </w:tcBorders>
          <w:hideMark/>
        </w:tcPr>
        <w:p w:rsidR="00401099" w:rsidRDefault="00032B98" w:rsidP="00032B98">
          <w:pPr>
            <w:spacing w:before="100" w:after="40"/>
          </w:pPr>
          <w:r>
            <w:rPr>
              <w:sz w:val="22"/>
            </w:rPr>
            <w:t>Page</w:t>
          </w:r>
          <w:r w:rsidR="00401099" w:rsidRPr="00E30078">
            <w:rPr>
              <w:sz w:val="22"/>
            </w:rPr>
            <w:t xml:space="preserve"> </w:t>
          </w:r>
          <w:r w:rsidR="00401099" w:rsidRPr="00E30078">
            <w:rPr>
              <w:sz w:val="22"/>
            </w:rPr>
            <w:fldChar w:fldCharType="begin"/>
          </w:r>
          <w:r w:rsidR="00401099" w:rsidRPr="00E30078">
            <w:rPr>
              <w:sz w:val="22"/>
            </w:rPr>
            <w:instrText xml:space="preserve"> PAGE </w:instrText>
          </w:r>
          <w:r w:rsidR="00401099" w:rsidRPr="00E30078">
            <w:rPr>
              <w:sz w:val="22"/>
            </w:rPr>
            <w:fldChar w:fldCharType="separate"/>
          </w:r>
          <w:r>
            <w:rPr>
              <w:noProof/>
              <w:sz w:val="22"/>
            </w:rPr>
            <w:t>1</w:t>
          </w:r>
          <w:r w:rsidR="00401099" w:rsidRPr="00E30078">
            <w:rPr>
              <w:sz w:val="22"/>
            </w:rPr>
            <w:fldChar w:fldCharType="end"/>
          </w:r>
          <w:r w:rsidR="00401099" w:rsidRPr="00E30078">
            <w:rPr>
              <w:sz w:val="22"/>
            </w:rPr>
            <w:t xml:space="preserve"> </w:t>
          </w:r>
          <w:r>
            <w:rPr>
              <w:sz w:val="22"/>
            </w:rPr>
            <w:t>de</w:t>
          </w:r>
          <w:r w:rsidR="00401099" w:rsidRPr="00E30078">
            <w:rPr>
              <w:sz w:val="22"/>
            </w:rPr>
            <w:t xml:space="preserve"> </w:t>
          </w:r>
          <w:r w:rsidR="00401099" w:rsidRPr="00E30078">
            <w:rPr>
              <w:sz w:val="22"/>
            </w:rPr>
            <w:fldChar w:fldCharType="begin"/>
          </w:r>
          <w:r w:rsidR="00401099" w:rsidRPr="00E30078">
            <w:rPr>
              <w:sz w:val="22"/>
            </w:rPr>
            <w:instrText xml:space="preserve"> NUMPAGES  </w:instrText>
          </w:r>
          <w:r w:rsidR="00401099" w:rsidRPr="00E30078">
            <w:rPr>
              <w:sz w:val="22"/>
            </w:rPr>
            <w:fldChar w:fldCharType="separate"/>
          </w:r>
          <w:r>
            <w:rPr>
              <w:noProof/>
              <w:sz w:val="22"/>
            </w:rPr>
            <w:t>4</w:t>
          </w:r>
          <w:r w:rsidR="00401099" w:rsidRPr="00E30078">
            <w:rPr>
              <w:sz w:val="22"/>
            </w:rPr>
            <w:fldChar w:fldCharType="end"/>
          </w:r>
        </w:p>
      </w:tc>
    </w:tr>
  </w:tbl>
  <w:p w:rsidR="00401099" w:rsidRDefault="00401099">
    <w:pP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C01B9"/>
    <w:multiLevelType w:val="hybridMultilevel"/>
    <w:tmpl w:val="9104AAF4"/>
    <w:lvl w:ilvl="0" w:tplc="96107434">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4F261863"/>
    <w:multiLevelType w:val="singleLevel"/>
    <w:tmpl w:val="69762D46"/>
    <w:lvl w:ilvl="0">
      <w:start w:val="1"/>
      <w:numFmt w:val="decimal"/>
      <w:lvlText w:val="%1."/>
      <w:lvlJc w:val="left"/>
      <w:pPr>
        <w:tabs>
          <w:tab w:val="num" w:pos="705"/>
        </w:tabs>
        <w:ind w:left="705" w:hanging="70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630"/>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9C1"/>
    <w:rsid w:val="00030848"/>
    <w:rsid w:val="00032B98"/>
    <w:rsid w:val="00041431"/>
    <w:rsid w:val="000C2365"/>
    <w:rsid w:val="000D664E"/>
    <w:rsid w:val="001E161A"/>
    <w:rsid w:val="002044E0"/>
    <w:rsid w:val="00221A9C"/>
    <w:rsid w:val="00243517"/>
    <w:rsid w:val="00246DAC"/>
    <w:rsid w:val="0029208B"/>
    <w:rsid w:val="002A0C01"/>
    <w:rsid w:val="00370F99"/>
    <w:rsid w:val="003A5FF8"/>
    <w:rsid w:val="003C68FF"/>
    <w:rsid w:val="003E620B"/>
    <w:rsid w:val="00401099"/>
    <w:rsid w:val="004232B9"/>
    <w:rsid w:val="0043320D"/>
    <w:rsid w:val="004674CF"/>
    <w:rsid w:val="005146F9"/>
    <w:rsid w:val="0052144A"/>
    <w:rsid w:val="005F73AB"/>
    <w:rsid w:val="00610285"/>
    <w:rsid w:val="00611C4D"/>
    <w:rsid w:val="00625D7C"/>
    <w:rsid w:val="00647F19"/>
    <w:rsid w:val="006760CF"/>
    <w:rsid w:val="0068470D"/>
    <w:rsid w:val="00686FCA"/>
    <w:rsid w:val="00692C0B"/>
    <w:rsid w:val="00710578"/>
    <w:rsid w:val="007319C1"/>
    <w:rsid w:val="00743E7A"/>
    <w:rsid w:val="00747E41"/>
    <w:rsid w:val="0078192A"/>
    <w:rsid w:val="00791795"/>
    <w:rsid w:val="00795A7D"/>
    <w:rsid w:val="007D477D"/>
    <w:rsid w:val="007E2602"/>
    <w:rsid w:val="00844AC3"/>
    <w:rsid w:val="00870D61"/>
    <w:rsid w:val="00884671"/>
    <w:rsid w:val="008C5BED"/>
    <w:rsid w:val="008D6F42"/>
    <w:rsid w:val="009B279B"/>
    <w:rsid w:val="009D1DF0"/>
    <w:rsid w:val="00A06296"/>
    <w:rsid w:val="00A701A3"/>
    <w:rsid w:val="00A84ED4"/>
    <w:rsid w:val="00A87157"/>
    <w:rsid w:val="00AE584B"/>
    <w:rsid w:val="00AF3403"/>
    <w:rsid w:val="00B20A79"/>
    <w:rsid w:val="00B72A73"/>
    <w:rsid w:val="00B7730C"/>
    <w:rsid w:val="00BA1993"/>
    <w:rsid w:val="00C3156D"/>
    <w:rsid w:val="00C467F5"/>
    <w:rsid w:val="00D05EED"/>
    <w:rsid w:val="00D31D54"/>
    <w:rsid w:val="00D50E16"/>
    <w:rsid w:val="00D643B6"/>
    <w:rsid w:val="00D745EF"/>
    <w:rsid w:val="00DE4D53"/>
    <w:rsid w:val="00E43F82"/>
    <w:rsid w:val="00E51D03"/>
    <w:rsid w:val="00E6040B"/>
    <w:rsid w:val="00E85B7C"/>
    <w:rsid w:val="00FF0266"/>
    <w:rsid w:val="00FF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19C1"/>
    <w:pPr>
      <w:spacing w:after="120" w:line="276" w:lineRule="auto"/>
      <w:jc w:val="both"/>
    </w:pPr>
    <w:rPr>
      <w:rFonts w:ascii="Arial" w:hAnsi="Arial"/>
      <w:lang w:eastAsia="de-DE"/>
    </w:rPr>
  </w:style>
  <w:style w:type="paragraph" w:styleId="berschrift1">
    <w:name w:val="heading 1"/>
    <w:basedOn w:val="Standard"/>
    <w:next w:val="Standard"/>
    <w:link w:val="berschrift1Zchn"/>
    <w:qFormat/>
    <w:pPr>
      <w:keepNext/>
      <w:spacing w:before="240" w:after="60"/>
      <w:ind w:left="709" w:hanging="709"/>
      <w:outlineLvl w:val="0"/>
    </w:pPr>
    <w:rPr>
      <w:b/>
      <w:kern w:val="28"/>
      <w:sz w:val="28"/>
    </w:rPr>
  </w:style>
  <w:style w:type="paragraph" w:styleId="berschrift2">
    <w:name w:val="heading 2"/>
    <w:basedOn w:val="Standard"/>
    <w:next w:val="Standard"/>
    <w:link w:val="berschrift2Zchn"/>
    <w:qFormat/>
    <w:pPr>
      <w:keepNext/>
      <w:spacing w:before="240" w:after="60"/>
      <w:ind w:left="709" w:hanging="709"/>
      <w:outlineLvl w:val="1"/>
    </w:pPr>
    <w:rPr>
      <w:b/>
      <w:i/>
      <w:sz w:val="24"/>
    </w:rPr>
  </w:style>
  <w:style w:type="paragraph" w:styleId="berschrift3">
    <w:name w:val="heading 3"/>
    <w:basedOn w:val="Standard"/>
    <w:next w:val="Standard"/>
    <w:qFormat/>
    <w:pPr>
      <w:keepNext/>
      <w:spacing w:before="240" w:after="60"/>
      <w:outlineLvl w:val="2"/>
    </w:pPr>
    <w:rPr>
      <w:smallCaps/>
    </w:rPr>
  </w:style>
  <w:style w:type="paragraph" w:styleId="berschrift4">
    <w:name w:val="heading 4"/>
    <w:basedOn w:val="Standard"/>
    <w:next w:val="Standard"/>
    <w:qFormat/>
    <w:pPr>
      <w:keepNext/>
      <w:outlineLvl w:val="3"/>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astentext">
    <w:name w:val="Kastentext"/>
    <w:basedOn w:val="Standard"/>
    <w:pPr>
      <w:pBdr>
        <w:top w:val="single" w:sz="4" w:space="1" w:color="auto" w:shadow="1"/>
        <w:left w:val="single" w:sz="4" w:space="4" w:color="auto" w:shadow="1"/>
        <w:bottom w:val="single" w:sz="4" w:space="1" w:color="auto" w:shadow="1"/>
        <w:right w:val="single" w:sz="4" w:space="4" w:color="auto" w:shadow="1"/>
      </w:pBdr>
      <w:spacing w:before="100" w:after="100"/>
      <w:ind w:left="57" w:right="170"/>
    </w:pPr>
    <w:rPr>
      <w:sz w:val="18"/>
    </w:rPr>
  </w:style>
  <w:style w:type="paragraph" w:customStyle="1" w:styleId="MitgeltendeUnterlagen">
    <w:name w:val="Mitgeltende Unterlagen"/>
    <w:basedOn w:val="Standard"/>
    <w:pPr>
      <w:ind w:left="1276" w:hanging="1276"/>
    </w:pPr>
  </w:style>
  <w:style w:type="paragraph" w:customStyle="1" w:styleId="Signet">
    <w:name w:val="Signet"/>
    <w:basedOn w:val="Standard"/>
    <w:pPr>
      <w:tabs>
        <w:tab w:val="left" w:pos="57"/>
      </w:tabs>
      <w:spacing w:before="20"/>
    </w:pPr>
  </w:style>
  <w:style w:type="paragraph" w:customStyle="1" w:styleId="NeuesSignet">
    <w:name w:val="Neues Signet"/>
    <w:basedOn w:val="Signet"/>
    <w:pPr>
      <w:tabs>
        <w:tab w:val="clear" w:pos="57"/>
        <w:tab w:val="left" w:pos="142"/>
      </w:tabs>
      <w:spacing w:before="220" w:line="200" w:lineRule="exact"/>
    </w:pPr>
    <w:rPr>
      <w:rFonts w:ascii="Times New Roman" w:hAnsi="Times New Roman"/>
      <w:b/>
      <w:color w:val="FFFFFF"/>
      <w:spacing w:val="-6"/>
      <w:sz w:val="24"/>
    </w:rPr>
  </w:style>
  <w:style w:type="paragraph" w:styleId="Sprechblasentext">
    <w:name w:val="Balloon Text"/>
    <w:basedOn w:val="Standard"/>
    <w:link w:val="SprechblasentextZchn"/>
    <w:uiPriority w:val="99"/>
    <w:semiHidden/>
    <w:unhideWhenUsed/>
    <w:rsid w:val="00AF3403"/>
    <w:rPr>
      <w:rFonts w:ascii="Tahoma" w:hAnsi="Tahoma" w:cs="Tahoma"/>
      <w:sz w:val="16"/>
      <w:szCs w:val="16"/>
    </w:rPr>
  </w:style>
  <w:style w:type="character" w:customStyle="1" w:styleId="SprechblasentextZchn">
    <w:name w:val="Sprechblasentext Zchn"/>
    <w:link w:val="Sprechblasentext"/>
    <w:uiPriority w:val="99"/>
    <w:semiHidden/>
    <w:rsid w:val="00AF3403"/>
    <w:rPr>
      <w:rFonts w:ascii="Tahoma" w:hAnsi="Tahoma" w:cs="Tahoma"/>
      <w:sz w:val="16"/>
      <w:szCs w:val="16"/>
      <w:lang w:eastAsia="de-DE"/>
    </w:rPr>
  </w:style>
  <w:style w:type="character" w:customStyle="1" w:styleId="berschrift1Zchn">
    <w:name w:val="Überschrift 1 Zchn"/>
    <w:link w:val="berschrift1"/>
    <w:rsid w:val="00AF3403"/>
    <w:rPr>
      <w:rFonts w:ascii="Arial" w:hAnsi="Arial"/>
      <w:b/>
      <w:kern w:val="28"/>
      <w:sz w:val="28"/>
      <w:lang w:eastAsia="de-DE"/>
    </w:rPr>
  </w:style>
  <w:style w:type="character" w:customStyle="1" w:styleId="berschrift2Zchn">
    <w:name w:val="Überschrift 2 Zchn"/>
    <w:link w:val="berschrift2"/>
    <w:rsid w:val="00611C4D"/>
    <w:rPr>
      <w:rFonts w:ascii="Arial" w:hAnsi="Arial"/>
      <w:b/>
      <w:i/>
      <w:sz w:val="24"/>
      <w:lang w:eastAsia="de-DE"/>
    </w:rPr>
  </w:style>
  <w:style w:type="character" w:customStyle="1" w:styleId="KopfzeileZchn">
    <w:name w:val="Kopfzeile Zchn"/>
    <w:link w:val="Kopfzeile"/>
    <w:semiHidden/>
    <w:rsid w:val="00611C4D"/>
    <w:rPr>
      <w:rFonts w:ascii="Arial" w:hAnsi="Arial"/>
      <w:lang w:eastAsia="de-DE"/>
    </w:rPr>
  </w:style>
  <w:style w:type="character" w:styleId="Funotenzeichen">
    <w:name w:val="footnote reference"/>
    <w:semiHidden/>
    <w:rsid w:val="007319C1"/>
    <w:rPr>
      <w:vertAlign w:val="superscript"/>
    </w:rPr>
  </w:style>
  <w:style w:type="character" w:styleId="Hyperlink">
    <w:name w:val="Hyperlink"/>
    <w:rsid w:val="007319C1"/>
    <w:rPr>
      <w:color w:val="0000FF"/>
      <w:u w:val="single"/>
    </w:rPr>
  </w:style>
  <w:style w:type="paragraph" w:styleId="Funotentext">
    <w:name w:val="footnote text"/>
    <w:basedOn w:val="Standard"/>
    <w:link w:val="FunotentextZchn"/>
    <w:uiPriority w:val="99"/>
    <w:semiHidden/>
    <w:unhideWhenUsed/>
    <w:rsid w:val="007319C1"/>
    <w:rPr>
      <w:lang w:val="x-none"/>
    </w:rPr>
  </w:style>
  <w:style w:type="character" w:customStyle="1" w:styleId="FunotentextZchn">
    <w:name w:val="Fußnotentext Zchn"/>
    <w:link w:val="Funotentext"/>
    <w:uiPriority w:val="99"/>
    <w:semiHidden/>
    <w:rsid w:val="007319C1"/>
    <w:rPr>
      <w:rFonts w:ascii="Arial" w:hAnsi="Arial"/>
      <w:lang w:val="x-none" w:eastAsia="de-DE"/>
    </w:rPr>
  </w:style>
  <w:style w:type="paragraph" w:customStyle="1" w:styleId="ohneAbstand">
    <w:name w:val="ohne Abstand"/>
    <w:basedOn w:val="Standard"/>
    <w:link w:val="ohneAbstandZchn"/>
    <w:qFormat/>
    <w:rsid w:val="007319C1"/>
    <w:pPr>
      <w:tabs>
        <w:tab w:val="left" w:pos="2835"/>
        <w:tab w:val="left" w:leader="dot" w:pos="9072"/>
      </w:tabs>
      <w:spacing w:after="0"/>
    </w:pPr>
    <w:rPr>
      <w:lang w:val="x-none"/>
    </w:rPr>
  </w:style>
  <w:style w:type="character" w:customStyle="1" w:styleId="ohneAbstandZchn">
    <w:name w:val="ohne Abstand Zchn"/>
    <w:link w:val="ohneAbstand"/>
    <w:rsid w:val="007319C1"/>
    <w:rPr>
      <w:rFonts w:ascii="Arial" w:hAnsi="Arial"/>
      <w:lang w:val="x-none" w:eastAsia="de-DE"/>
    </w:rPr>
  </w:style>
  <w:style w:type="character" w:styleId="BesuchterHyperlink">
    <w:name w:val="FollowedHyperlink"/>
    <w:uiPriority w:val="99"/>
    <w:semiHidden/>
    <w:unhideWhenUsed/>
    <w:rsid w:val="007319C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236187">
      <w:bodyDiv w:val="1"/>
      <w:marLeft w:val="0"/>
      <w:marRight w:val="0"/>
      <w:marTop w:val="0"/>
      <w:marBottom w:val="0"/>
      <w:divBdr>
        <w:top w:val="none" w:sz="0" w:space="0" w:color="auto"/>
        <w:left w:val="none" w:sz="0" w:space="0" w:color="auto"/>
        <w:bottom w:val="none" w:sz="0" w:space="0" w:color="auto"/>
        <w:right w:val="none" w:sz="0" w:space="0" w:color="auto"/>
      </w:divBdr>
    </w:div>
    <w:div w:id="17286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wsl.ch/publikationen/pdf/970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sche_work\Documents\Pesches%20Dateien\Freelance\Mandat%20BWB\MHB\MHB_FM\02%20Handbuch_d\Handbuch_d_Entwurf\M0\M000V-Dokumentenvorlage-Entwur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1FB32-AFCB-4C42-950C-A06DF147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M000V-Dokumentenvorlage-Entwurf</Template>
  <TotalTime>0</TotalTime>
  <Pages>4</Pages>
  <Words>1115</Words>
  <Characters>7028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M201-12V</vt:lpstr>
    </vt:vector>
  </TitlesOfParts>
  <Company>BWB</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M201-12V</dc:title>
  <dc:creator>Peter Schwab</dc:creator>
  <cp:keywords>AGB</cp:keywords>
  <cp:lastModifiedBy>Peter Schwab</cp:lastModifiedBy>
  <cp:revision>4</cp:revision>
  <cp:lastPrinted>2008-02-06T05:55:00Z</cp:lastPrinted>
  <dcterms:created xsi:type="dcterms:W3CDTF">2012-01-12T14:50:00Z</dcterms:created>
  <dcterms:modified xsi:type="dcterms:W3CDTF">2012-01-27T15:25:00Z</dcterms:modified>
</cp:coreProperties>
</file>